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D585" w14:textId="02029A37" w:rsidR="00AB26A7" w:rsidRPr="00AB26A7" w:rsidRDefault="00AB26A7" w:rsidP="00AB26A7">
      <w:pPr>
        <w:jc w:val="center"/>
        <w:outlineLvl w:val="2"/>
        <w:rPr>
          <w:rFonts w:ascii="方正小标宋简体" w:eastAsia="方正小标宋简体" w:hAnsi="宋体" w:cs="宋体" w:hint="eastAsia"/>
          <w:sz w:val="44"/>
          <w:szCs w:val="44"/>
        </w:rPr>
      </w:pPr>
      <w:r w:rsidRPr="00AB26A7">
        <w:rPr>
          <w:rFonts w:ascii="方正小标宋简体" w:eastAsia="方正小标宋简体" w:hAnsi="宋体" w:cs="宋体" w:hint="eastAsia"/>
          <w:sz w:val="44"/>
          <w:szCs w:val="44"/>
        </w:rPr>
        <w:t>评审细则</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8"/>
        <w:gridCol w:w="1317"/>
        <w:gridCol w:w="902"/>
        <w:gridCol w:w="6593"/>
      </w:tblGrid>
      <w:tr w:rsidR="00AB26A7" w14:paraId="308E6057" w14:textId="77777777" w:rsidTr="000163E9">
        <w:trPr>
          <w:trHeight w:val="540"/>
          <w:jc w:val="center"/>
        </w:trPr>
        <w:tc>
          <w:tcPr>
            <w:tcW w:w="638" w:type="dxa"/>
            <w:vAlign w:val="center"/>
          </w:tcPr>
          <w:p w14:paraId="0D340BB6" w14:textId="77777777" w:rsidR="00AB26A7" w:rsidRPr="00AB26A7" w:rsidRDefault="00AB26A7" w:rsidP="000163E9">
            <w:pPr>
              <w:spacing w:beforeLines="15" w:before="46" w:afterLines="15" w:after="46" w:line="360" w:lineRule="auto"/>
              <w:jc w:val="center"/>
              <w:rPr>
                <w:rFonts w:ascii="方正黑体_GBK" w:eastAsia="方正黑体_GBK" w:hAnsi="宋体" w:cs="宋体" w:hint="eastAsia"/>
                <w:bCs/>
                <w:sz w:val="28"/>
                <w:szCs w:val="28"/>
              </w:rPr>
            </w:pPr>
            <w:r w:rsidRPr="00AB26A7">
              <w:rPr>
                <w:rFonts w:ascii="方正黑体_GBK" w:eastAsia="方正黑体_GBK" w:hAnsi="宋体" w:cs="宋体" w:hint="eastAsia"/>
                <w:bCs/>
                <w:sz w:val="28"/>
                <w:szCs w:val="28"/>
              </w:rPr>
              <w:t>序号</w:t>
            </w:r>
          </w:p>
        </w:tc>
        <w:tc>
          <w:tcPr>
            <w:tcW w:w="1317" w:type="dxa"/>
            <w:vAlign w:val="center"/>
          </w:tcPr>
          <w:p w14:paraId="20B20808" w14:textId="77777777" w:rsidR="00AB26A7" w:rsidRPr="00AB26A7" w:rsidRDefault="00AB26A7" w:rsidP="000163E9">
            <w:pPr>
              <w:widowControl/>
              <w:spacing w:line="240" w:lineRule="atLeast"/>
              <w:jc w:val="center"/>
              <w:rPr>
                <w:rFonts w:ascii="方正黑体_GBK" w:eastAsia="方正黑体_GBK" w:hAnsi="宋体" w:cs="宋体" w:hint="eastAsia"/>
                <w:bCs/>
                <w:sz w:val="28"/>
                <w:szCs w:val="28"/>
              </w:rPr>
            </w:pPr>
            <w:r w:rsidRPr="00AB26A7">
              <w:rPr>
                <w:rFonts w:ascii="方正黑体_GBK" w:eastAsia="方正黑体_GBK" w:hAnsi="宋体" w:cs="宋体" w:hint="eastAsia"/>
                <w:bCs/>
                <w:sz w:val="28"/>
                <w:szCs w:val="28"/>
              </w:rPr>
              <w:t>评分因素</w:t>
            </w:r>
          </w:p>
        </w:tc>
        <w:tc>
          <w:tcPr>
            <w:tcW w:w="902" w:type="dxa"/>
            <w:vAlign w:val="center"/>
          </w:tcPr>
          <w:p w14:paraId="68EAD63F" w14:textId="77777777" w:rsidR="00AB26A7" w:rsidRPr="00AB26A7" w:rsidRDefault="00AB26A7" w:rsidP="000163E9">
            <w:pPr>
              <w:widowControl/>
              <w:spacing w:line="240" w:lineRule="atLeast"/>
              <w:jc w:val="center"/>
              <w:rPr>
                <w:rFonts w:ascii="方正黑体_GBK" w:eastAsia="方正黑体_GBK" w:hAnsi="宋体" w:cs="宋体" w:hint="eastAsia"/>
                <w:bCs/>
                <w:sz w:val="28"/>
                <w:szCs w:val="28"/>
              </w:rPr>
            </w:pPr>
            <w:r w:rsidRPr="00AB26A7">
              <w:rPr>
                <w:rFonts w:ascii="方正黑体_GBK" w:eastAsia="方正黑体_GBK" w:hAnsi="宋体" w:cs="宋体" w:hint="eastAsia"/>
                <w:bCs/>
                <w:sz w:val="28"/>
                <w:szCs w:val="28"/>
              </w:rPr>
              <w:t>基准值</w:t>
            </w:r>
          </w:p>
        </w:tc>
        <w:tc>
          <w:tcPr>
            <w:tcW w:w="6593" w:type="dxa"/>
            <w:vAlign w:val="center"/>
          </w:tcPr>
          <w:p w14:paraId="142A29B2" w14:textId="77777777" w:rsidR="00AB26A7" w:rsidRPr="00AB26A7" w:rsidRDefault="00AB26A7" w:rsidP="000163E9">
            <w:pPr>
              <w:widowControl/>
              <w:spacing w:line="240" w:lineRule="atLeast"/>
              <w:jc w:val="center"/>
              <w:rPr>
                <w:rFonts w:ascii="方正黑体_GBK" w:eastAsia="方正黑体_GBK" w:hAnsi="宋体" w:cs="宋体" w:hint="eastAsia"/>
                <w:bCs/>
                <w:sz w:val="28"/>
                <w:szCs w:val="28"/>
              </w:rPr>
            </w:pPr>
            <w:r w:rsidRPr="00AB26A7">
              <w:rPr>
                <w:rFonts w:ascii="方正黑体_GBK" w:eastAsia="方正黑体_GBK" w:hAnsi="宋体" w:cs="宋体" w:hint="eastAsia"/>
                <w:bCs/>
                <w:sz w:val="28"/>
                <w:szCs w:val="28"/>
              </w:rPr>
              <w:t>评分标准</w:t>
            </w:r>
          </w:p>
        </w:tc>
      </w:tr>
      <w:tr w:rsidR="00AB26A7" w14:paraId="26489074" w14:textId="77777777" w:rsidTr="000163E9">
        <w:trPr>
          <w:trHeight w:val="376"/>
          <w:jc w:val="center"/>
        </w:trPr>
        <w:tc>
          <w:tcPr>
            <w:tcW w:w="9450" w:type="dxa"/>
            <w:gridSpan w:val="4"/>
            <w:vAlign w:val="center"/>
          </w:tcPr>
          <w:p w14:paraId="6112B8CE" w14:textId="77777777" w:rsidR="00AB26A7" w:rsidRPr="00AB26A7" w:rsidRDefault="00AB26A7" w:rsidP="000163E9">
            <w:pPr>
              <w:widowControl/>
              <w:spacing w:line="240" w:lineRule="atLeast"/>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一、价格部分（</w:t>
            </w:r>
            <w:r w:rsidRPr="00AB26A7">
              <w:rPr>
                <w:rFonts w:ascii="Times New Roman" w:eastAsia="仿宋_GB2312" w:hAnsi="Times New Roman" w:cs="Times New Roman"/>
                <w:bCs/>
                <w:sz w:val="32"/>
                <w:szCs w:val="32"/>
              </w:rPr>
              <w:t>10</w:t>
            </w:r>
            <w:r w:rsidRPr="00AB26A7">
              <w:rPr>
                <w:rFonts w:ascii="Times New Roman" w:eastAsia="仿宋_GB2312" w:hAnsi="Times New Roman" w:cs="Times New Roman"/>
                <w:bCs/>
                <w:sz w:val="32"/>
                <w:szCs w:val="32"/>
              </w:rPr>
              <w:t>分）</w:t>
            </w:r>
          </w:p>
        </w:tc>
      </w:tr>
      <w:tr w:rsidR="00AB26A7" w14:paraId="022F0852" w14:textId="77777777" w:rsidTr="000163E9">
        <w:trPr>
          <w:trHeight w:val="1936"/>
          <w:jc w:val="center"/>
        </w:trPr>
        <w:tc>
          <w:tcPr>
            <w:tcW w:w="638" w:type="dxa"/>
            <w:vAlign w:val="center"/>
          </w:tcPr>
          <w:p w14:paraId="48DA6EE8" w14:textId="77777777" w:rsidR="00AB26A7" w:rsidRPr="00AB26A7" w:rsidRDefault="00AB26A7" w:rsidP="000163E9">
            <w:pPr>
              <w:spacing w:beforeLines="15" w:before="46" w:afterLines="15" w:after="46" w:line="360" w:lineRule="auto"/>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1</w:t>
            </w:r>
          </w:p>
        </w:tc>
        <w:tc>
          <w:tcPr>
            <w:tcW w:w="1317" w:type="dxa"/>
            <w:vAlign w:val="center"/>
          </w:tcPr>
          <w:p w14:paraId="7EDDA008" w14:textId="77777777" w:rsidR="00AB26A7" w:rsidRPr="00AB26A7" w:rsidRDefault="00AB26A7" w:rsidP="000163E9">
            <w:pPr>
              <w:widowControl/>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价格部分（</w:t>
            </w:r>
            <w:r w:rsidRPr="00AB26A7">
              <w:rPr>
                <w:rFonts w:ascii="Times New Roman" w:eastAsia="仿宋_GB2312" w:hAnsi="Times New Roman" w:cs="Times New Roman"/>
                <w:bCs/>
                <w:sz w:val="32"/>
                <w:szCs w:val="32"/>
              </w:rPr>
              <w:t>10%</w:t>
            </w:r>
            <w:r w:rsidRPr="00AB26A7">
              <w:rPr>
                <w:rFonts w:ascii="Times New Roman" w:eastAsia="仿宋_GB2312" w:hAnsi="Times New Roman" w:cs="Times New Roman"/>
                <w:bCs/>
                <w:sz w:val="32"/>
                <w:szCs w:val="32"/>
              </w:rPr>
              <w:t>）</w:t>
            </w:r>
          </w:p>
        </w:tc>
        <w:tc>
          <w:tcPr>
            <w:tcW w:w="902" w:type="dxa"/>
            <w:vAlign w:val="center"/>
          </w:tcPr>
          <w:p w14:paraId="17514660" w14:textId="77777777" w:rsidR="00AB26A7" w:rsidRPr="00AB26A7" w:rsidRDefault="00AB26A7" w:rsidP="000163E9">
            <w:pPr>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10</w:t>
            </w:r>
            <w:r w:rsidRPr="00AB26A7">
              <w:rPr>
                <w:rFonts w:ascii="Times New Roman" w:eastAsia="仿宋_GB2312" w:hAnsi="Times New Roman" w:cs="Times New Roman"/>
                <w:bCs/>
                <w:sz w:val="32"/>
                <w:szCs w:val="32"/>
              </w:rPr>
              <w:t>分</w:t>
            </w:r>
          </w:p>
        </w:tc>
        <w:tc>
          <w:tcPr>
            <w:tcW w:w="6593" w:type="dxa"/>
            <w:vAlign w:val="center"/>
          </w:tcPr>
          <w:p w14:paraId="240580E8" w14:textId="77777777" w:rsidR="00AB26A7" w:rsidRPr="00AB26A7" w:rsidRDefault="00AB26A7" w:rsidP="000163E9">
            <w:pPr>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价格分采用低价优先法计算，即满足采购文件要求且投标价格最低的有效投标报价（含税投标总价）为评标基准价，其价格分为满分。</w:t>
            </w:r>
            <w:r w:rsidRPr="00AB26A7">
              <w:rPr>
                <w:rFonts w:ascii="Times New Roman" w:eastAsia="仿宋_GB2312" w:hAnsi="Times New Roman" w:cs="Times New Roman"/>
                <w:bCs/>
                <w:sz w:val="32"/>
                <w:szCs w:val="32"/>
              </w:rPr>
              <w:br/>
            </w:r>
            <w:r w:rsidRPr="00AB26A7">
              <w:rPr>
                <w:rFonts w:ascii="Times New Roman" w:eastAsia="仿宋_GB2312" w:hAnsi="Times New Roman" w:cs="Times New Roman"/>
                <w:bCs/>
                <w:sz w:val="32"/>
                <w:szCs w:val="32"/>
              </w:rPr>
              <w:t>其他供应商的价格</w:t>
            </w:r>
            <w:proofErr w:type="gramStart"/>
            <w:r w:rsidRPr="00AB26A7">
              <w:rPr>
                <w:rFonts w:ascii="Times New Roman" w:eastAsia="仿宋_GB2312" w:hAnsi="Times New Roman" w:cs="Times New Roman"/>
                <w:bCs/>
                <w:sz w:val="32"/>
                <w:szCs w:val="32"/>
              </w:rPr>
              <w:t>分统一</w:t>
            </w:r>
            <w:proofErr w:type="gramEnd"/>
            <w:r w:rsidRPr="00AB26A7">
              <w:rPr>
                <w:rFonts w:ascii="Times New Roman" w:eastAsia="仿宋_GB2312" w:hAnsi="Times New Roman" w:cs="Times New Roman"/>
                <w:bCs/>
                <w:sz w:val="32"/>
                <w:szCs w:val="32"/>
              </w:rPr>
              <w:t>按照下列公式计算：</w:t>
            </w:r>
            <w:r w:rsidRPr="00AB26A7">
              <w:rPr>
                <w:rFonts w:ascii="Times New Roman" w:eastAsia="仿宋_GB2312" w:hAnsi="Times New Roman" w:cs="Times New Roman"/>
                <w:bCs/>
                <w:sz w:val="32"/>
                <w:szCs w:val="32"/>
              </w:rPr>
              <w:br/>
            </w:r>
            <w:r w:rsidRPr="00AB26A7">
              <w:rPr>
                <w:rFonts w:ascii="Times New Roman" w:eastAsia="仿宋_GB2312" w:hAnsi="Times New Roman" w:cs="Times New Roman"/>
                <w:bCs/>
                <w:sz w:val="32"/>
                <w:szCs w:val="32"/>
              </w:rPr>
              <w:t>投标报价得分</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（评标基准价／投标报价）</w:t>
            </w:r>
            <w:r w:rsidRPr="00AB26A7">
              <w:rPr>
                <w:rFonts w:ascii="Times New Roman" w:eastAsia="仿宋_GB2312" w:hAnsi="Times New Roman" w:cs="Times New Roman"/>
                <w:bCs/>
                <w:sz w:val="32"/>
                <w:szCs w:val="32"/>
              </w:rPr>
              <w:t>×10×100%</w:t>
            </w:r>
            <w:r w:rsidRPr="00AB26A7">
              <w:rPr>
                <w:rFonts w:ascii="Times New Roman" w:eastAsia="仿宋_GB2312" w:hAnsi="Times New Roman" w:cs="Times New Roman"/>
                <w:bCs/>
                <w:sz w:val="32"/>
                <w:szCs w:val="32"/>
              </w:rPr>
              <w:br/>
            </w:r>
            <w:r w:rsidRPr="00AB26A7">
              <w:rPr>
                <w:rFonts w:ascii="Times New Roman" w:eastAsia="仿宋_GB2312" w:hAnsi="Times New Roman" w:cs="Times New Roman"/>
                <w:bCs/>
                <w:sz w:val="32"/>
                <w:szCs w:val="32"/>
              </w:rPr>
              <w:t>评标过程中，不得去掉报价中的最高报价和最低报价。因落实政府采购政策进行价格调整的，以调整后的价格计算评标基准价和投标报价。价格分数保留两位小数。</w:t>
            </w:r>
            <w:r w:rsidRPr="00AB26A7">
              <w:rPr>
                <w:rFonts w:ascii="Times New Roman" w:eastAsia="仿宋_GB2312" w:hAnsi="Times New Roman" w:cs="Times New Roman"/>
                <w:bCs/>
                <w:sz w:val="32"/>
                <w:szCs w:val="32"/>
              </w:rPr>
              <w:br/>
            </w:r>
            <w:r w:rsidRPr="00AB26A7">
              <w:rPr>
                <w:rFonts w:ascii="Times New Roman" w:eastAsia="仿宋_GB2312" w:hAnsi="Times New Roman" w:cs="Times New Roman"/>
                <w:bCs/>
                <w:sz w:val="32"/>
                <w:szCs w:val="32"/>
              </w:rPr>
              <w:t>备注：</w:t>
            </w:r>
            <w:r w:rsidRPr="00AB26A7">
              <w:rPr>
                <w:rFonts w:ascii="Times New Roman" w:eastAsia="仿宋_GB2312" w:hAnsi="Times New Roman" w:cs="Times New Roman"/>
                <w:bCs/>
                <w:sz w:val="32"/>
                <w:szCs w:val="32"/>
              </w:rPr>
              <w:br/>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）根据《关于推动解决政府采购异常低价问题的通知》（财库〔</w:t>
            </w:r>
            <w:r w:rsidRPr="00AB26A7">
              <w:rPr>
                <w:rFonts w:ascii="Times New Roman" w:eastAsia="仿宋_GB2312" w:hAnsi="Times New Roman" w:cs="Times New Roman"/>
                <w:bCs/>
                <w:sz w:val="32"/>
                <w:szCs w:val="32"/>
              </w:rPr>
              <w:t>2026</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t>号）和《政府采购货物和服务招标投标管理办法》（财政部令第</w:t>
            </w:r>
            <w:r w:rsidRPr="00AB26A7">
              <w:rPr>
                <w:rFonts w:ascii="Times New Roman" w:eastAsia="仿宋_GB2312" w:hAnsi="Times New Roman" w:cs="Times New Roman"/>
                <w:bCs/>
                <w:sz w:val="32"/>
                <w:szCs w:val="32"/>
              </w:rPr>
              <w:t>87</w:t>
            </w:r>
            <w:r w:rsidRPr="00AB26A7">
              <w:rPr>
                <w:rFonts w:ascii="Times New Roman" w:eastAsia="仿宋_GB2312" w:hAnsi="Times New Roman" w:cs="Times New Roman"/>
                <w:bCs/>
                <w:sz w:val="32"/>
                <w:szCs w:val="32"/>
              </w:rPr>
              <w:t>号）第六十条规定，评标委员会认为投标人的报价明显低于其他通过符合性审查投标人的报价，有可能影响服务质量或者不能诚信履约的，应当要求其在评标现场合理的时间内提供</w:t>
            </w:r>
            <w:r w:rsidRPr="00AB26A7">
              <w:rPr>
                <w:rFonts w:ascii="Times New Roman" w:eastAsia="仿宋_GB2312" w:hAnsi="Times New Roman" w:cs="Times New Roman"/>
                <w:bCs/>
                <w:sz w:val="32"/>
                <w:szCs w:val="32"/>
              </w:rPr>
              <w:lastRenderedPageBreak/>
              <w:t>书面说明，必要时提交相关证明材料；投标人不能证明其报价合理性的，评标委员会应当将其作为无效投标处理。</w:t>
            </w:r>
            <w:r w:rsidRPr="00AB26A7">
              <w:rPr>
                <w:rFonts w:ascii="Times New Roman" w:eastAsia="仿宋_GB2312" w:hAnsi="Times New Roman" w:cs="Times New Roman"/>
                <w:bCs/>
                <w:sz w:val="32"/>
                <w:szCs w:val="32"/>
              </w:rPr>
              <w:br/>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t>）根据《政府采购促进中小企业发展管理办法》《财政部</w:t>
            </w:r>
            <w:r w:rsidRPr="00AB26A7">
              <w:rPr>
                <w:rFonts w:ascii="Times New Roman" w:eastAsia="仿宋_GB2312" w:hAnsi="Times New Roman" w:cs="Times New Roman"/>
                <w:bCs/>
                <w:sz w:val="32"/>
                <w:szCs w:val="32"/>
              </w:rPr>
              <w:t xml:space="preserve"> </w:t>
            </w:r>
            <w:r w:rsidRPr="00AB26A7">
              <w:rPr>
                <w:rFonts w:ascii="Times New Roman" w:eastAsia="仿宋_GB2312" w:hAnsi="Times New Roman" w:cs="Times New Roman"/>
                <w:bCs/>
                <w:sz w:val="32"/>
                <w:szCs w:val="32"/>
              </w:rPr>
              <w:t>司法部关于政府采购支持监狱企业发展有关问题的通知》和《关于促进残疾人就业政府采购政策的通知》的规定，对小型和微型企业、监狱企业、残疾人福利性单位的产品的价格给予</w:t>
            </w:r>
            <w:r w:rsidRPr="00AB26A7">
              <w:rPr>
                <w:rFonts w:ascii="Times New Roman" w:eastAsia="仿宋_GB2312" w:hAnsi="Times New Roman" w:cs="Times New Roman"/>
                <w:bCs/>
                <w:sz w:val="32"/>
                <w:szCs w:val="32"/>
              </w:rPr>
              <w:t>10%</w:t>
            </w:r>
            <w:r w:rsidRPr="00AB26A7">
              <w:rPr>
                <w:rFonts w:ascii="Times New Roman" w:eastAsia="仿宋_GB2312" w:hAnsi="Times New Roman" w:cs="Times New Roman"/>
                <w:bCs/>
                <w:sz w:val="32"/>
                <w:szCs w:val="32"/>
              </w:rPr>
              <w:t>的扣除，用扣除后的价格参与评审（须提供中小企业声明函、监狱企业及残疾人福利性单位声明函，否则不予价格扣除）。</w:t>
            </w:r>
          </w:p>
        </w:tc>
      </w:tr>
      <w:tr w:rsidR="00AB26A7" w14:paraId="1026B809" w14:textId="77777777" w:rsidTr="000163E9">
        <w:trPr>
          <w:trHeight w:val="360"/>
          <w:jc w:val="center"/>
        </w:trPr>
        <w:tc>
          <w:tcPr>
            <w:tcW w:w="9450" w:type="dxa"/>
            <w:gridSpan w:val="4"/>
            <w:vAlign w:val="center"/>
          </w:tcPr>
          <w:p w14:paraId="615EE291" w14:textId="77777777" w:rsidR="00AB26A7" w:rsidRPr="00AB26A7" w:rsidRDefault="00AB26A7" w:rsidP="000163E9">
            <w:pPr>
              <w:spacing w:line="240" w:lineRule="atLeast"/>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lastRenderedPageBreak/>
              <w:t>二、商务部分（</w:t>
            </w:r>
            <w:r w:rsidRPr="00AB26A7">
              <w:rPr>
                <w:rFonts w:ascii="Times New Roman" w:eastAsia="仿宋_GB2312" w:hAnsi="Times New Roman" w:cs="Times New Roman"/>
                <w:bCs/>
                <w:sz w:val="32"/>
                <w:szCs w:val="32"/>
              </w:rPr>
              <w:t>30</w:t>
            </w:r>
            <w:r w:rsidRPr="00AB26A7">
              <w:rPr>
                <w:rFonts w:ascii="Times New Roman" w:eastAsia="仿宋_GB2312" w:hAnsi="Times New Roman" w:cs="Times New Roman"/>
                <w:bCs/>
                <w:sz w:val="32"/>
                <w:szCs w:val="32"/>
              </w:rPr>
              <w:t>分）</w:t>
            </w:r>
          </w:p>
        </w:tc>
      </w:tr>
      <w:tr w:rsidR="00AB26A7" w14:paraId="69E6E307" w14:textId="77777777" w:rsidTr="000163E9">
        <w:tblPrEx>
          <w:tblCellMar>
            <w:top w:w="0" w:type="dxa"/>
            <w:left w:w="108" w:type="dxa"/>
            <w:bottom w:w="0" w:type="dxa"/>
            <w:right w:w="108" w:type="dxa"/>
          </w:tblCellMar>
        </w:tblPrEx>
        <w:trPr>
          <w:trHeight w:val="90"/>
          <w:jc w:val="center"/>
        </w:trPr>
        <w:tc>
          <w:tcPr>
            <w:tcW w:w="638" w:type="dxa"/>
            <w:vAlign w:val="center"/>
          </w:tcPr>
          <w:p w14:paraId="386EF634" w14:textId="77777777" w:rsidR="00AB26A7" w:rsidRPr="00AB26A7" w:rsidRDefault="00AB26A7" w:rsidP="000163E9">
            <w:pPr>
              <w:widowControl/>
              <w:spacing w:line="420" w:lineRule="exact"/>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1</w:t>
            </w:r>
          </w:p>
        </w:tc>
        <w:tc>
          <w:tcPr>
            <w:tcW w:w="1317" w:type="dxa"/>
            <w:vAlign w:val="center"/>
          </w:tcPr>
          <w:p w14:paraId="13E806EE" w14:textId="77777777" w:rsidR="00AB26A7" w:rsidRPr="00AB26A7" w:rsidRDefault="00AB26A7" w:rsidP="000163E9">
            <w:pPr>
              <w:widowControl/>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类似项目实施经验（</w:t>
            </w:r>
            <w:r w:rsidRPr="00AB26A7">
              <w:rPr>
                <w:rFonts w:ascii="Times New Roman" w:eastAsia="仿宋_GB2312" w:hAnsi="Times New Roman" w:cs="Times New Roman"/>
                <w:bCs/>
                <w:sz w:val="32"/>
                <w:szCs w:val="32"/>
              </w:rPr>
              <w:t>12</w:t>
            </w:r>
            <w:r w:rsidRPr="00AB26A7">
              <w:rPr>
                <w:rFonts w:ascii="Times New Roman" w:eastAsia="仿宋_GB2312" w:hAnsi="Times New Roman" w:cs="Times New Roman"/>
                <w:bCs/>
                <w:sz w:val="32"/>
                <w:szCs w:val="32"/>
              </w:rPr>
              <w:t>分）</w:t>
            </w:r>
          </w:p>
        </w:tc>
        <w:tc>
          <w:tcPr>
            <w:tcW w:w="902" w:type="dxa"/>
            <w:vAlign w:val="center"/>
          </w:tcPr>
          <w:p w14:paraId="475E8A5D" w14:textId="77777777" w:rsidR="00AB26A7" w:rsidRPr="00AB26A7" w:rsidRDefault="00AB26A7" w:rsidP="000163E9">
            <w:pPr>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12</w:t>
            </w:r>
            <w:r w:rsidRPr="00AB26A7">
              <w:rPr>
                <w:rFonts w:ascii="Times New Roman" w:eastAsia="仿宋_GB2312" w:hAnsi="Times New Roman" w:cs="Times New Roman"/>
                <w:bCs/>
                <w:sz w:val="32"/>
                <w:szCs w:val="32"/>
              </w:rPr>
              <w:t>分</w:t>
            </w:r>
          </w:p>
        </w:tc>
        <w:tc>
          <w:tcPr>
            <w:tcW w:w="6593" w:type="dxa"/>
          </w:tcPr>
          <w:p w14:paraId="10EEEA94"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供应商提供近三年至今类似案例，每提供一个得</w:t>
            </w:r>
            <w:r w:rsidRPr="00AB26A7">
              <w:rPr>
                <w:rFonts w:ascii="Times New Roman" w:eastAsia="仿宋_GB2312" w:hAnsi="Times New Roman" w:cs="Times New Roman"/>
                <w:bCs/>
                <w:sz w:val="32"/>
                <w:szCs w:val="32"/>
              </w:rPr>
              <w:t>3</w:t>
            </w:r>
            <w:r w:rsidRPr="00AB26A7">
              <w:rPr>
                <w:rFonts w:ascii="Times New Roman" w:eastAsia="仿宋_GB2312" w:hAnsi="Times New Roman" w:cs="Times New Roman"/>
                <w:bCs/>
                <w:sz w:val="32"/>
                <w:szCs w:val="32"/>
              </w:rPr>
              <w:t>分，最高得</w:t>
            </w:r>
            <w:r w:rsidRPr="00AB26A7">
              <w:rPr>
                <w:rFonts w:ascii="Times New Roman" w:eastAsia="仿宋_GB2312" w:hAnsi="Times New Roman" w:cs="Times New Roman"/>
                <w:bCs/>
                <w:sz w:val="32"/>
                <w:szCs w:val="32"/>
              </w:rPr>
              <w:t>12</w:t>
            </w:r>
            <w:r w:rsidRPr="00AB26A7">
              <w:rPr>
                <w:rFonts w:ascii="Times New Roman" w:eastAsia="仿宋_GB2312" w:hAnsi="Times New Roman" w:cs="Times New Roman"/>
                <w:bCs/>
                <w:sz w:val="32"/>
                <w:szCs w:val="32"/>
              </w:rPr>
              <w:t>分。</w:t>
            </w:r>
          </w:p>
          <w:p w14:paraId="38A9EC9C" w14:textId="77777777" w:rsidR="00AB26A7" w:rsidRPr="00AB26A7" w:rsidRDefault="00AB26A7" w:rsidP="000163E9">
            <w:pPr>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注：提供中标（或成交）通知书或合同关键页（包括内容、签约日期、双方盖章）复印件或复函（须有甲方盖章）并加盖公章作为评审依据。时间认定以中标（或成交）通知书或合同签订的时间或复函落款日期为准。未提供上述证明材料的，不得分。</w:t>
            </w:r>
          </w:p>
        </w:tc>
      </w:tr>
      <w:tr w:rsidR="00AB26A7" w14:paraId="4D646C9B" w14:textId="77777777" w:rsidTr="000163E9">
        <w:tblPrEx>
          <w:tblCellMar>
            <w:top w:w="0" w:type="dxa"/>
            <w:left w:w="108" w:type="dxa"/>
            <w:bottom w:w="0" w:type="dxa"/>
            <w:right w:w="108" w:type="dxa"/>
          </w:tblCellMar>
        </w:tblPrEx>
        <w:trPr>
          <w:trHeight w:val="90"/>
          <w:jc w:val="center"/>
        </w:trPr>
        <w:tc>
          <w:tcPr>
            <w:tcW w:w="638" w:type="dxa"/>
            <w:vAlign w:val="center"/>
          </w:tcPr>
          <w:p w14:paraId="59A072E3" w14:textId="77777777" w:rsidR="00AB26A7" w:rsidRPr="00AB26A7" w:rsidRDefault="00AB26A7" w:rsidP="000163E9">
            <w:pPr>
              <w:widowControl/>
              <w:spacing w:line="420" w:lineRule="exact"/>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lastRenderedPageBreak/>
              <w:t>2</w:t>
            </w:r>
          </w:p>
        </w:tc>
        <w:tc>
          <w:tcPr>
            <w:tcW w:w="1317" w:type="dxa"/>
            <w:vAlign w:val="center"/>
          </w:tcPr>
          <w:p w14:paraId="7B644527" w14:textId="77777777" w:rsidR="00AB26A7" w:rsidRPr="00AB26A7" w:rsidRDefault="00AB26A7" w:rsidP="000163E9">
            <w:pPr>
              <w:widowControl/>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人员配备（</w:t>
            </w:r>
            <w:r w:rsidRPr="00AB26A7">
              <w:rPr>
                <w:rFonts w:ascii="Times New Roman" w:eastAsia="仿宋_GB2312" w:hAnsi="Times New Roman" w:cs="Times New Roman"/>
                <w:bCs/>
                <w:sz w:val="32"/>
                <w:szCs w:val="32"/>
              </w:rPr>
              <w:t>10</w:t>
            </w:r>
            <w:r w:rsidRPr="00AB26A7">
              <w:rPr>
                <w:rFonts w:ascii="Times New Roman" w:eastAsia="仿宋_GB2312" w:hAnsi="Times New Roman" w:cs="Times New Roman"/>
                <w:bCs/>
                <w:sz w:val="32"/>
                <w:szCs w:val="32"/>
              </w:rPr>
              <w:t>分）</w:t>
            </w:r>
          </w:p>
        </w:tc>
        <w:tc>
          <w:tcPr>
            <w:tcW w:w="902" w:type="dxa"/>
            <w:vAlign w:val="center"/>
          </w:tcPr>
          <w:p w14:paraId="50BDEF70" w14:textId="77777777" w:rsidR="00AB26A7" w:rsidRPr="00AB26A7" w:rsidRDefault="00AB26A7" w:rsidP="000163E9">
            <w:pPr>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10</w:t>
            </w:r>
            <w:r w:rsidRPr="00AB26A7">
              <w:rPr>
                <w:rFonts w:ascii="Times New Roman" w:eastAsia="仿宋_GB2312" w:hAnsi="Times New Roman" w:cs="Times New Roman"/>
                <w:bCs/>
                <w:sz w:val="32"/>
                <w:szCs w:val="32"/>
              </w:rPr>
              <w:t>分</w:t>
            </w:r>
          </w:p>
        </w:tc>
        <w:tc>
          <w:tcPr>
            <w:tcW w:w="6593" w:type="dxa"/>
          </w:tcPr>
          <w:p w14:paraId="219788B6"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拟投入人员配备情况</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提供</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名现场负责人得</w:t>
            </w: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t>分；提供</w:t>
            </w: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t>名活动策划人员得</w:t>
            </w: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t>分；提供</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名物料设计师得</w:t>
            </w: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t>分；提供</w:t>
            </w: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t>名活动调度专员得</w:t>
            </w: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t>分；提供</w:t>
            </w:r>
            <w:r w:rsidRPr="00AB26A7">
              <w:rPr>
                <w:rFonts w:ascii="Times New Roman" w:eastAsia="仿宋_GB2312" w:hAnsi="Times New Roman" w:cs="Times New Roman"/>
                <w:bCs/>
                <w:sz w:val="32"/>
                <w:szCs w:val="32"/>
              </w:rPr>
              <w:t>3</w:t>
            </w:r>
            <w:r w:rsidRPr="00AB26A7">
              <w:rPr>
                <w:rFonts w:ascii="Times New Roman" w:eastAsia="仿宋_GB2312" w:hAnsi="Times New Roman" w:cs="Times New Roman"/>
                <w:bCs/>
                <w:sz w:val="32"/>
                <w:szCs w:val="32"/>
              </w:rPr>
              <w:t>名后勤专员得</w:t>
            </w: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t>分。本项满分</w:t>
            </w:r>
            <w:r w:rsidRPr="00AB26A7">
              <w:rPr>
                <w:rFonts w:ascii="Times New Roman" w:eastAsia="仿宋_GB2312" w:hAnsi="Times New Roman" w:cs="Times New Roman"/>
                <w:bCs/>
                <w:sz w:val="32"/>
                <w:szCs w:val="32"/>
              </w:rPr>
              <w:t>10</w:t>
            </w:r>
            <w:r w:rsidRPr="00AB26A7">
              <w:rPr>
                <w:rFonts w:ascii="Times New Roman" w:eastAsia="仿宋_GB2312" w:hAnsi="Times New Roman" w:cs="Times New Roman"/>
                <w:bCs/>
                <w:sz w:val="32"/>
                <w:szCs w:val="32"/>
              </w:rPr>
              <w:t>分。（人员重复的不能累计得分，有以下缺失项不得分：需提供团队人员提供身份证复印件、劳动合同复印件、社保缴费凭证、任命书复印件。）</w:t>
            </w:r>
          </w:p>
        </w:tc>
      </w:tr>
      <w:tr w:rsidR="00AB26A7" w14:paraId="3464EDE9" w14:textId="77777777" w:rsidTr="000163E9">
        <w:tblPrEx>
          <w:tblCellMar>
            <w:top w:w="0" w:type="dxa"/>
            <w:left w:w="108" w:type="dxa"/>
            <w:bottom w:w="0" w:type="dxa"/>
            <w:right w:w="108" w:type="dxa"/>
          </w:tblCellMar>
        </w:tblPrEx>
        <w:trPr>
          <w:trHeight w:val="90"/>
          <w:jc w:val="center"/>
        </w:trPr>
        <w:tc>
          <w:tcPr>
            <w:tcW w:w="638" w:type="dxa"/>
            <w:vAlign w:val="center"/>
          </w:tcPr>
          <w:p w14:paraId="20A762E2" w14:textId="77777777" w:rsidR="00AB26A7" w:rsidRPr="00AB26A7" w:rsidRDefault="00AB26A7" w:rsidP="000163E9">
            <w:pPr>
              <w:widowControl/>
              <w:spacing w:line="420" w:lineRule="exact"/>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3</w:t>
            </w:r>
          </w:p>
        </w:tc>
        <w:tc>
          <w:tcPr>
            <w:tcW w:w="1317" w:type="dxa"/>
            <w:vAlign w:val="center"/>
          </w:tcPr>
          <w:p w14:paraId="50893325" w14:textId="77777777" w:rsidR="00AB26A7" w:rsidRPr="00AB26A7" w:rsidRDefault="00AB26A7" w:rsidP="000163E9">
            <w:pPr>
              <w:widowControl/>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直播车辆及设施设备配置（</w:t>
            </w:r>
            <w:r w:rsidRPr="00AB26A7">
              <w:rPr>
                <w:rFonts w:ascii="Times New Roman" w:eastAsia="仿宋_GB2312" w:hAnsi="Times New Roman" w:cs="Times New Roman"/>
                <w:bCs/>
                <w:sz w:val="32"/>
                <w:szCs w:val="32"/>
              </w:rPr>
              <w:t>8</w:t>
            </w:r>
            <w:r w:rsidRPr="00AB26A7">
              <w:rPr>
                <w:rFonts w:ascii="Times New Roman" w:eastAsia="仿宋_GB2312" w:hAnsi="Times New Roman" w:cs="Times New Roman"/>
                <w:bCs/>
                <w:sz w:val="32"/>
                <w:szCs w:val="32"/>
              </w:rPr>
              <w:t>分）</w:t>
            </w:r>
          </w:p>
        </w:tc>
        <w:tc>
          <w:tcPr>
            <w:tcW w:w="902" w:type="dxa"/>
            <w:vAlign w:val="center"/>
          </w:tcPr>
          <w:p w14:paraId="3A7BF160" w14:textId="77777777" w:rsidR="00AB26A7" w:rsidRPr="00AB26A7" w:rsidRDefault="00AB26A7" w:rsidP="000163E9">
            <w:pPr>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8</w:t>
            </w:r>
            <w:r w:rsidRPr="00AB26A7">
              <w:rPr>
                <w:rFonts w:ascii="Times New Roman" w:eastAsia="仿宋_GB2312" w:hAnsi="Times New Roman" w:cs="Times New Roman"/>
                <w:bCs/>
                <w:sz w:val="32"/>
                <w:szCs w:val="32"/>
              </w:rPr>
              <w:t>分</w:t>
            </w:r>
          </w:p>
        </w:tc>
        <w:tc>
          <w:tcPr>
            <w:tcW w:w="6593" w:type="dxa"/>
          </w:tcPr>
          <w:p w14:paraId="3FE7CF09" w14:textId="77777777" w:rsidR="00AB26A7" w:rsidRPr="00AB26A7" w:rsidRDefault="00AB26A7" w:rsidP="000163E9">
            <w:pPr>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直播转播车配置（满分</w:t>
            </w:r>
            <w:r w:rsidRPr="00AB26A7">
              <w:rPr>
                <w:rFonts w:ascii="Times New Roman" w:eastAsia="仿宋_GB2312" w:hAnsi="Times New Roman" w:cs="Times New Roman"/>
                <w:bCs/>
                <w:sz w:val="32"/>
                <w:szCs w:val="32"/>
              </w:rPr>
              <w:t>4</w:t>
            </w:r>
            <w:r w:rsidRPr="00AB26A7">
              <w:rPr>
                <w:rFonts w:ascii="Times New Roman" w:eastAsia="仿宋_GB2312" w:hAnsi="Times New Roman" w:cs="Times New Roman"/>
                <w:bCs/>
                <w:sz w:val="32"/>
                <w:szCs w:val="32"/>
              </w:rPr>
              <w:t>分）</w:t>
            </w:r>
          </w:p>
          <w:p w14:paraId="3AFE59F9"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供应商提供自有或已签订租赁合同的高清数字转播</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直播车（支持</w:t>
            </w:r>
            <w:r w:rsidRPr="00AB26A7">
              <w:rPr>
                <w:rFonts w:ascii="Times New Roman" w:eastAsia="仿宋_GB2312" w:hAnsi="Times New Roman" w:cs="Times New Roman"/>
                <w:bCs/>
                <w:sz w:val="32"/>
                <w:szCs w:val="32"/>
              </w:rPr>
              <w:t>4K</w:t>
            </w:r>
            <w:r w:rsidRPr="00AB26A7">
              <w:rPr>
                <w:rFonts w:ascii="Times New Roman" w:eastAsia="仿宋_GB2312" w:hAnsi="Times New Roman" w:cs="Times New Roman"/>
                <w:bCs/>
                <w:sz w:val="32"/>
                <w:szCs w:val="32"/>
              </w:rPr>
              <w:t>及以上），满足现场直播基本需求。</w:t>
            </w:r>
          </w:p>
          <w:p w14:paraId="4ACE66CB"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证明材料要求：需提供车辆实景照片、行驶证（自有）或处于有效期的租赁合同</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租赁意向书（租赁），以及车辆主要技术规格说明。未提供或提供不全的，本项不得分。</w:t>
            </w:r>
          </w:p>
          <w:p w14:paraId="6B4A6292" w14:textId="77777777" w:rsidR="00AB26A7" w:rsidRPr="00AB26A7" w:rsidRDefault="00AB26A7" w:rsidP="000163E9">
            <w:pPr>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t>设施设备配置及应急保障（满分</w:t>
            </w:r>
            <w:r w:rsidRPr="00AB26A7">
              <w:rPr>
                <w:rFonts w:ascii="Times New Roman" w:eastAsia="仿宋_GB2312" w:hAnsi="Times New Roman" w:cs="Times New Roman"/>
                <w:bCs/>
                <w:sz w:val="32"/>
                <w:szCs w:val="32"/>
              </w:rPr>
              <w:t>4</w:t>
            </w:r>
            <w:r w:rsidRPr="00AB26A7">
              <w:rPr>
                <w:rFonts w:ascii="Times New Roman" w:eastAsia="仿宋_GB2312" w:hAnsi="Times New Roman" w:cs="Times New Roman"/>
                <w:bCs/>
                <w:sz w:val="32"/>
                <w:szCs w:val="32"/>
              </w:rPr>
              <w:t>分）</w:t>
            </w:r>
          </w:p>
          <w:p w14:paraId="1FB4594D"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评审供应商拟投入的直播配套设备：</w:t>
            </w:r>
          </w:p>
          <w:p w14:paraId="64D2A5EE"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提供详尽设备清单，完全满足以下要求，得</w:t>
            </w:r>
            <w:r w:rsidRPr="00AB26A7">
              <w:rPr>
                <w:rFonts w:ascii="Times New Roman" w:eastAsia="仿宋_GB2312" w:hAnsi="Times New Roman" w:cs="Times New Roman"/>
                <w:bCs/>
                <w:sz w:val="32"/>
                <w:szCs w:val="32"/>
              </w:rPr>
              <w:t>4</w:t>
            </w:r>
            <w:r w:rsidRPr="00AB26A7">
              <w:rPr>
                <w:rFonts w:ascii="Times New Roman" w:eastAsia="仿宋_GB2312" w:hAnsi="Times New Roman" w:cs="Times New Roman"/>
                <w:bCs/>
                <w:sz w:val="32"/>
                <w:szCs w:val="32"/>
              </w:rPr>
              <w:t>分；每缺少一项关键设备扣</w:t>
            </w:r>
            <w:r w:rsidRPr="00AB26A7">
              <w:rPr>
                <w:rFonts w:ascii="Times New Roman" w:eastAsia="仿宋_GB2312" w:hAnsi="Times New Roman" w:cs="Times New Roman"/>
                <w:bCs/>
                <w:sz w:val="32"/>
                <w:szCs w:val="32"/>
              </w:rPr>
              <w:t>0.5</w:t>
            </w:r>
            <w:r w:rsidRPr="00AB26A7">
              <w:rPr>
                <w:rFonts w:ascii="Times New Roman" w:eastAsia="仿宋_GB2312" w:hAnsi="Times New Roman" w:cs="Times New Roman"/>
                <w:bCs/>
                <w:sz w:val="32"/>
                <w:szCs w:val="32"/>
              </w:rPr>
              <w:t>分，扣完为止。</w:t>
            </w:r>
          </w:p>
          <w:p w14:paraId="003475D4"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核心设备：</w:t>
            </w:r>
            <w:proofErr w:type="gramStart"/>
            <w:r w:rsidRPr="00AB26A7">
              <w:rPr>
                <w:rFonts w:ascii="Times New Roman" w:eastAsia="仿宋_GB2312" w:hAnsi="Times New Roman" w:cs="Times New Roman"/>
                <w:bCs/>
                <w:sz w:val="32"/>
                <w:szCs w:val="32"/>
              </w:rPr>
              <w:t>广播级讯道</w:t>
            </w:r>
            <w:proofErr w:type="gramEnd"/>
            <w:r w:rsidRPr="00AB26A7">
              <w:rPr>
                <w:rFonts w:ascii="Times New Roman" w:eastAsia="仿宋_GB2312" w:hAnsi="Times New Roman" w:cs="Times New Roman"/>
                <w:bCs/>
                <w:sz w:val="32"/>
                <w:szCs w:val="32"/>
              </w:rPr>
              <w:t>摄像机不少于</w:t>
            </w: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lastRenderedPageBreak/>
              <w:t>台、数字切换台、字幕机</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在线包装系统、硬盘录像机、专业通话系统、</w:t>
            </w:r>
            <w:proofErr w:type="gramStart"/>
            <w:r w:rsidRPr="00AB26A7">
              <w:rPr>
                <w:rFonts w:ascii="Times New Roman" w:eastAsia="仿宋_GB2312" w:hAnsi="Times New Roman" w:cs="Times New Roman"/>
                <w:bCs/>
                <w:sz w:val="32"/>
                <w:szCs w:val="32"/>
              </w:rPr>
              <w:t>无线图传设备</w:t>
            </w:r>
            <w:proofErr w:type="gramEnd"/>
            <w:r w:rsidRPr="00AB26A7">
              <w:rPr>
                <w:rFonts w:ascii="Times New Roman" w:eastAsia="仿宋_GB2312" w:hAnsi="Times New Roman" w:cs="Times New Roman"/>
                <w:bCs/>
                <w:sz w:val="32"/>
                <w:szCs w:val="32"/>
              </w:rPr>
              <w:t>、广播级音频系统（调音台、话筒、监听）、监视器群组、摇臂或电子稳定器等；</w:t>
            </w:r>
          </w:p>
          <w:p w14:paraId="7798FBBC"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备用与应急：承诺配备关键设备的冷备份（如备用摄像机、切换台应急端口），以及现场不间断供电（</w:t>
            </w:r>
            <w:r w:rsidRPr="00AB26A7">
              <w:rPr>
                <w:rFonts w:ascii="Times New Roman" w:eastAsia="仿宋_GB2312" w:hAnsi="Times New Roman" w:cs="Times New Roman"/>
                <w:bCs/>
                <w:sz w:val="32"/>
                <w:szCs w:val="32"/>
              </w:rPr>
              <w:t>UPS/</w:t>
            </w:r>
            <w:r w:rsidRPr="00AB26A7">
              <w:rPr>
                <w:rFonts w:ascii="Times New Roman" w:eastAsia="仿宋_GB2312" w:hAnsi="Times New Roman" w:cs="Times New Roman"/>
                <w:bCs/>
                <w:sz w:val="32"/>
                <w:szCs w:val="32"/>
              </w:rPr>
              <w:t>发电车）等应急方案；</w:t>
            </w:r>
          </w:p>
          <w:p w14:paraId="42FE6491"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证明材料要求：需提供设备清单（含品牌、型号、数量、主要技术参数）。</w:t>
            </w:r>
          </w:p>
        </w:tc>
      </w:tr>
      <w:tr w:rsidR="00AB26A7" w14:paraId="0B0258A5" w14:textId="77777777" w:rsidTr="000163E9">
        <w:trPr>
          <w:trHeight w:val="485"/>
          <w:jc w:val="center"/>
        </w:trPr>
        <w:tc>
          <w:tcPr>
            <w:tcW w:w="9450" w:type="dxa"/>
            <w:gridSpan w:val="4"/>
            <w:vAlign w:val="center"/>
          </w:tcPr>
          <w:p w14:paraId="1F07D851" w14:textId="77777777" w:rsidR="00AB26A7" w:rsidRPr="00AB26A7" w:rsidRDefault="00AB26A7" w:rsidP="000163E9">
            <w:pPr>
              <w:spacing w:line="240" w:lineRule="atLeast"/>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lastRenderedPageBreak/>
              <w:t>三、技术部分（</w:t>
            </w:r>
            <w:r w:rsidRPr="00AB26A7">
              <w:rPr>
                <w:rFonts w:ascii="Times New Roman" w:eastAsia="仿宋_GB2312" w:hAnsi="Times New Roman" w:cs="Times New Roman"/>
                <w:bCs/>
                <w:sz w:val="32"/>
                <w:szCs w:val="32"/>
              </w:rPr>
              <w:t>60</w:t>
            </w:r>
            <w:r w:rsidRPr="00AB26A7">
              <w:rPr>
                <w:rFonts w:ascii="Times New Roman" w:eastAsia="仿宋_GB2312" w:hAnsi="Times New Roman" w:cs="Times New Roman"/>
                <w:bCs/>
                <w:sz w:val="32"/>
                <w:szCs w:val="32"/>
              </w:rPr>
              <w:t>分）</w:t>
            </w:r>
          </w:p>
        </w:tc>
      </w:tr>
      <w:tr w:rsidR="00AB26A7" w14:paraId="0E9096BB" w14:textId="77777777" w:rsidTr="000163E9">
        <w:tblPrEx>
          <w:tblCellMar>
            <w:top w:w="0" w:type="dxa"/>
            <w:left w:w="108" w:type="dxa"/>
            <w:bottom w:w="0" w:type="dxa"/>
            <w:right w:w="108" w:type="dxa"/>
          </w:tblCellMar>
        </w:tblPrEx>
        <w:trPr>
          <w:trHeight w:val="470"/>
          <w:jc w:val="center"/>
        </w:trPr>
        <w:tc>
          <w:tcPr>
            <w:tcW w:w="638" w:type="dxa"/>
            <w:vAlign w:val="center"/>
          </w:tcPr>
          <w:p w14:paraId="740F74C6" w14:textId="77777777" w:rsidR="00AB26A7" w:rsidRPr="00AB26A7" w:rsidRDefault="00AB26A7" w:rsidP="000163E9">
            <w:pPr>
              <w:shd w:val="clear" w:color="auto" w:fill="FFFFFF" w:themeFill="background1"/>
              <w:jc w:val="center"/>
              <w:textAlignment w:val="center"/>
              <w:rPr>
                <w:rFonts w:ascii="Times New Roman" w:eastAsia="仿宋_GB2312" w:hAnsi="Times New Roman" w:cs="Times New Roman"/>
                <w:bCs/>
                <w:sz w:val="32"/>
                <w:szCs w:val="32"/>
              </w:rPr>
            </w:pPr>
            <w:r w:rsidRPr="00AB26A7">
              <w:rPr>
                <w:rFonts w:ascii="Times New Roman" w:eastAsia="仿宋_GB2312" w:hAnsi="Times New Roman" w:cs="Times New Roman"/>
                <w:kern w:val="0"/>
                <w:sz w:val="32"/>
                <w:szCs w:val="32"/>
              </w:rPr>
              <w:t>1</w:t>
            </w:r>
          </w:p>
        </w:tc>
        <w:tc>
          <w:tcPr>
            <w:tcW w:w="1317" w:type="dxa"/>
            <w:vAlign w:val="center"/>
          </w:tcPr>
          <w:p w14:paraId="0FFFD109" w14:textId="77777777" w:rsidR="00AB26A7" w:rsidRPr="00AB26A7" w:rsidRDefault="00AB26A7" w:rsidP="000163E9">
            <w:pP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总体建设方案（</w:t>
            </w:r>
            <w:r w:rsidRPr="00AB26A7">
              <w:rPr>
                <w:rFonts w:ascii="Times New Roman" w:eastAsia="仿宋_GB2312" w:hAnsi="Times New Roman" w:cs="Times New Roman"/>
                <w:bCs/>
                <w:sz w:val="32"/>
                <w:szCs w:val="32"/>
              </w:rPr>
              <w:t>20</w:t>
            </w:r>
            <w:r w:rsidRPr="00AB26A7">
              <w:rPr>
                <w:rFonts w:ascii="Times New Roman" w:eastAsia="仿宋_GB2312" w:hAnsi="Times New Roman" w:cs="Times New Roman"/>
                <w:bCs/>
                <w:sz w:val="32"/>
                <w:szCs w:val="32"/>
              </w:rPr>
              <w:t>分）</w:t>
            </w:r>
          </w:p>
        </w:tc>
        <w:tc>
          <w:tcPr>
            <w:tcW w:w="902" w:type="dxa"/>
            <w:vAlign w:val="center"/>
          </w:tcPr>
          <w:p w14:paraId="6402F88B" w14:textId="77777777" w:rsidR="00AB26A7" w:rsidRPr="00AB26A7" w:rsidRDefault="00AB26A7" w:rsidP="000163E9">
            <w:pPr>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20</w:t>
            </w:r>
            <w:r w:rsidRPr="00AB26A7">
              <w:rPr>
                <w:rFonts w:ascii="Times New Roman" w:eastAsia="仿宋_GB2312" w:hAnsi="Times New Roman" w:cs="Times New Roman"/>
                <w:bCs/>
                <w:sz w:val="32"/>
                <w:szCs w:val="32"/>
              </w:rPr>
              <w:t>分</w:t>
            </w:r>
          </w:p>
        </w:tc>
        <w:tc>
          <w:tcPr>
            <w:tcW w:w="6593" w:type="dxa"/>
            <w:vAlign w:val="center"/>
          </w:tcPr>
          <w:p w14:paraId="6105E820"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根据供应商提供的总体建设方案进行综合评价，方案内容包括但不限于：</w:t>
            </w:r>
            <w:r w:rsidRPr="00AB26A7">
              <w:rPr>
                <w:rFonts w:ascii="Cambria Math" w:eastAsia="仿宋_GB2312" w:hAnsi="Cambria Math" w:cs="Cambria Math"/>
                <w:bCs/>
                <w:sz w:val="32"/>
                <w:szCs w:val="32"/>
              </w:rPr>
              <w:t>①</w:t>
            </w:r>
            <w:r w:rsidRPr="00AB26A7">
              <w:rPr>
                <w:rFonts w:ascii="Times New Roman" w:eastAsia="仿宋_GB2312" w:hAnsi="Times New Roman" w:cs="Times New Roman"/>
                <w:bCs/>
                <w:sz w:val="32"/>
                <w:szCs w:val="32"/>
              </w:rPr>
              <w:t>对本项目的现场情况、服务范围、服务技术标准；</w:t>
            </w:r>
            <w:r w:rsidRPr="00AB26A7">
              <w:rPr>
                <w:rFonts w:ascii="Cambria Math" w:eastAsia="仿宋_GB2312" w:hAnsi="Cambria Math" w:cs="Cambria Math"/>
                <w:bCs/>
                <w:sz w:val="32"/>
                <w:szCs w:val="32"/>
              </w:rPr>
              <w:t>②</w:t>
            </w:r>
            <w:r w:rsidRPr="00AB26A7">
              <w:rPr>
                <w:rFonts w:ascii="Times New Roman" w:eastAsia="仿宋_GB2312" w:hAnsi="Times New Roman" w:cs="Times New Roman"/>
                <w:bCs/>
                <w:sz w:val="32"/>
                <w:szCs w:val="32"/>
              </w:rPr>
              <w:t>对项目基本情况掌握包含本项目服务范围及服务环境的描述；</w:t>
            </w:r>
            <w:r w:rsidRPr="00AB26A7">
              <w:rPr>
                <w:rFonts w:ascii="Cambria Math" w:eastAsia="仿宋_GB2312" w:hAnsi="Cambria Math" w:cs="Cambria Math"/>
                <w:bCs/>
                <w:sz w:val="32"/>
                <w:szCs w:val="32"/>
              </w:rPr>
              <w:t>③</w:t>
            </w:r>
            <w:r w:rsidRPr="00AB26A7">
              <w:rPr>
                <w:rFonts w:ascii="Times New Roman" w:eastAsia="仿宋_GB2312" w:hAnsi="Times New Roman" w:cs="Times New Roman"/>
                <w:bCs/>
                <w:sz w:val="32"/>
                <w:szCs w:val="32"/>
              </w:rPr>
              <w:t>分析本项目工作的难点及解决方案；</w:t>
            </w:r>
            <w:r w:rsidRPr="00AB26A7">
              <w:rPr>
                <w:rFonts w:ascii="Cambria Math" w:eastAsia="仿宋_GB2312" w:hAnsi="Cambria Math" w:cs="Cambria Math"/>
                <w:bCs/>
                <w:sz w:val="32"/>
                <w:szCs w:val="32"/>
              </w:rPr>
              <w:t>④</w:t>
            </w:r>
            <w:r w:rsidRPr="00AB26A7">
              <w:rPr>
                <w:rFonts w:ascii="Times New Roman" w:eastAsia="仿宋_GB2312" w:hAnsi="Times New Roman" w:cs="Times New Roman"/>
                <w:bCs/>
                <w:sz w:val="32"/>
                <w:szCs w:val="32"/>
              </w:rPr>
              <w:t>供应商自身参加本项目的优势与有利条件；</w:t>
            </w:r>
          </w:p>
          <w:p w14:paraId="3AA70897"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提供以上任意</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项得</w:t>
            </w:r>
            <w:r w:rsidRPr="00AB26A7">
              <w:rPr>
                <w:rFonts w:ascii="Times New Roman" w:eastAsia="仿宋_GB2312" w:hAnsi="Times New Roman" w:cs="Times New Roman"/>
                <w:bCs/>
                <w:sz w:val="32"/>
                <w:szCs w:val="32"/>
              </w:rPr>
              <w:t>5</w:t>
            </w:r>
            <w:r w:rsidRPr="00AB26A7">
              <w:rPr>
                <w:rFonts w:ascii="Times New Roman" w:eastAsia="仿宋_GB2312" w:hAnsi="Times New Roman" w:cs="Times New Roman"/>
                <w:bCs/>
                <w:sz w:val="32"/>
                <w:szCs w:val="32"/>
              </w:rPr>
              <w:t>分，每项内容有</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处错误或漏洞的扣</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分，扣完为止。</w:t>
            </w:r>
          </w:p>
          <w:p w14:paraId="35015116"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注：</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错误</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为：违反国家地区法律法规；不符合国家相关标准、行业标准、地方标准</w:t>
            </w:r>
            <w:r w:rsidRPr="00AB26A7">
              <w:rPr>
                <w:rFonts w:ascii="Times New Roman" w:eastAsia="仿宋_GB2312" w:hAnsi="Times New Roman" w:cs="Times New Roman"/>
                <w:bCs/>
                <w:sz w:val="32"/>
                <w:szCs w:val="32"/>
              </w:rPr>
              <w:lastRenderedPageBreak/>
              <w:t>或其他标准、规范；不满足质量、安全、技术规格、物理特性等要求；不符合采购标的</w:t>
            </w:r>
            <w:proofErr w:type="gramStart"/>
            <w:r w:rsidRPr="00AB26A7">
              <w:rPr>
                <w:rFonts w:ascii="Times New Roman" w:eastAsia="仿宋_GB2312" w:hAnsi="Times New Roman" w:cs="Times New Roman"/>
                <w:bCs/>
                <w:sz w:val="32"/>
                <w:szCs w:val="32"/>
              </w:rPr>
              <w:t>的</w:t>
            </w:r>
            <w:proofErr w:type="gramEnd"/>
            <w:r w:rsidRPr="00AB26A7">
              <w:rPr>
                <w:rFonts w:ascii="Times New Roman" w:eastAsia="仿宋_GB2312" w:hAnsi="Times New Roman" w:cs="Times New Roman"/>
                <w:bCs/>
                <w:sz w:val="32"/>
                <w:szCs w:val="32"/>
              </w:rPr>
              <w:t>数量、采购项目交付或者实施的时间和地点；不满足服务标准、期限、效率等要求；关键时效指标与采购文件要求不符。</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漏洞</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为：方案中出现其它项目名称、地点、单位名称；人员相关信息前后不一致；不适用本项目特点；存在安全隐患；举证材料不充分。</w:t>
            </w:r>
          </w:p>
        </w:tc>
      </w:tr>
      <w:tr w:rsidR="00AB26A7" w14:paraId="5CC681DE" w14:textId="77777777" w:rsidTr="000163E9">
        <w:tblPrEx>
          <w:tblCellMar>
            <w:top w:w="0" w:type="dxa"/>
            <w:left w:w="108" w:type="dxa"/>
            <w:bottom w:w="0" w:type="dxa"/>
            <w:right w:w="108" w:type="dxa"/>
          </w:tblCellMar>
        </w:tblPrEx>
        <w:trPr>
          <w:trHeight w:val="90"/>
          <w:jc w:val="center"/>
        </w:trPr>
        <w:tc>
          <w:tcPr>
            <w:tcW w:w="638" w:type="dxa"/>
            <w:vAlign w:val="center"/>
          </w:tcPr>
          <w:p w14:paraId="5BF34053" w14:textId="77777777" w:rsidR="00AB26A7" w:rsidRPr="00AB26A7" w:rsidRDefault="00AB26A7" w:rsidP="000163E9">
            <w:pPr>
              <w:shd w:val="clear" w:color="auto" w:fill="FFFFFF" w:themeFill="background1"/>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lastRenderedPageBreak/>
              <w:t>2</w:t>
            </w:r>
          </w:p>
        </w:tc>
        <w:tc>
          <w:tcPr>
            <w:tcW w:w="1317" w:type="dxa"/>
            <w:vAlign w:val="center"/>
          </w:tcPr>
          <w:p w14:paraId="1DF7996E" w14:textId="77777777" w:rsidR="00AB26A7" w:rsidRPr="00AB26A7" w:rsidRDefault="00AB26A7" w:rsidP="000163E9">
            <w:pPr>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服务方案（</w:t>
            </w:r>
            <w:r w:rsidRPr="00AB26A7">
              <w:rPr>
                <w:rFonts w:ascii="Times New Roman" w:eastAsia="仿宋_GB2312" w:hAnsi="Times New Roman" w:cs="Times New Roman"/>
                <w:bCs/>
                <w:sz w:val="32"/>
                <w:szCs w:val="32"/>
              </w:rPr>
              <w:t>20</w:t>
            </w:r>
            <w:r w:rsidRPr="00AB26A7">
              <w:rPr>
                <w:rFonts w:ascii="Times New Roman" w:eastAsia="仿宋_GB2312" w:hAnsi="Times New Roman" w:cs="Times New Roman"/>
                <w:bCs/>
                <w:sz w:val="32"/>
                <w:szCs w:val="32"/>
              </w:rPr>
              <w:t>分）</w:t>
            </w:r>
          </w:p>
        </w:tc>
        <w:tc>
          <w:tcPr>
            <w:tcW w:w="902" w:type="dxa"/>
            <w:vAlign w:val="center"/>
          </w:tcPr>
          <w:p w14:paraId="3EC5CC4E" w14:textId="77777777" w:rsidR="00AB26A7" w:rsidRPr="00AB26A7" w:rsidRDefault="00AB26A7" w:rsidP="000163E9">
            <w:pPr>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20</w:t>
            </w:r>
            <w:r w:rsidRPr="00AB26A7">
              <w:rPr>
                <w:rFonts w:ascii="Times New Roman" w:eastAsia="仿宋_GB2312" w:hAnsi="Times New Roman" w:cs="Times New Roman"/>
                <w:bCs/>
                <w:sz w:val="32"/>
                <w:szCs w:val="32"/>
              </w:rPr>
              <w:t>分</w:t>
            </w:r>
          </w:p>
        </w:tc>
        <w:tc>
          <w:tcPr>
            <w:tcW w:w="6593" w:type="dxa"/>
            <w:vAlign w:val="center"/>
          </w:tcPr>
          <w:p w14:paraId="453BA0C8"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根据供应商提供的服务方案进行综合评价，方案内容包括但不限于：</w:t>
            </w:r>
            <w:r w:rsidRPr="00AB26A7">
              <w:rPr>
                <w:rFonts w:ascii="Cambria Math" w:eastAsia="仿宋_GB2312" w:hAnsi="Cambria Math" w:cs="Cambria Math"/>
                <w:bCs/>
                <w:sz w:val="32"/>
                <w:szCs w:val="32"/>
              </w:rPr>
              <w:t>①</w:t>
            </w:r>
            <w:r w:rsidRPr="00AB26A7">
              <w:rPr>
                <w:rFonts w:ascii="Times New Roman" w:eastAsia="仿宋_GB2312" w:hAnsi="Times New Roman" w:cs="Times New Roman"/>
                <w:bCs/>
                <w:sz w:val="32"/>
                <w:szCs w:val="32"/>
              </w:rPr>
              <w:t>活动执行方案；</w:t>
            </w:r>
            <w:r w:rsidRPr="00AB26A7">
              <w:rPr>
                <w:rFonts w:ascii="Cambria Math" w:eastAsia="仿宋_GB2312" w:hAnsi="Cambria Math" w:cs="Cambria Math"/>
                <w:bCs/>
                <w:sz w:val="32"/>
                <w:szCs w:val="32"/>
              </w:rPr>
              <w:t>②</w:t>
            </w:r>
            <w:r w:rsidRPr="00AB26A7">
              <w:rPr>
                <w:rFonts w:ascii="Times New Roman" w:eastAsia="仿宋_GB2312" w:hAnsi="Times New Roman" w:cs="Times New Roman"/>
                <w:bCs/>
                <w:sz w:val="32"/>
                <w:szCs w:val="32"/>
              </w:rPr>
              <w:t>宣传物料准备方案；</w:t>
            </w:r>
            <w:r w:rsidRPr="00AB26A7">
              <w:rPr>
                <w:rFonts w:ascii="Cambria Math" w:eastAsia="仿宋_GB2312" w:hAnsi="Cambria Math" w:cs="Cambria Math"/>
                <w:bCs/>
                <w:sz w:val="32"/>
                <w:szCs w:val="32"/>
              </w:rPr>
              <w:t>③</w:t>
            </w:r>
            <w:r w:rsidRPr="00AB26A7">
              <w:rPr>
                <w:rFonts w:ascii="Times New Roman" w:eastAsia="仿宋_GB2312" w:hAnsi="Times New Roman" w:cs="Times New Roman"/>
                <w:bCs/>
                <w:sz w:val="32"/>
                <w:szCs w:val="32"/>
              </w:rPr>
              <w:t>展览展示方案；</w:t>
            </w:r>
            <w:r w:rsidRPr="00AB26A7">
              <w:rPr>
                <w:rFonts w:ascii="Cambria Math" w:eastAsia="仿宋_GB2312" w:hAnsi="Cambria Math" w:cs="Cambria Math"/>
                <w:bCs/>
                <w:sz w:val="32"/>
                <w:szCs w:val="32"/>
              </w:rPr>
              <w:t>④</w:t>
            </w:r>
            <w:r w:rsidRPr="00AB26A7">
              <w:rPr>
                <w:rFonts w:ascii="Times New Roman" w:eastAsia="仿宋_GB2312" w:hAnsi="Times New Roman" w:cs="Times New Roman"/>
                <w:bCs/>
                <w:sz w:val="32"/>
                <w:szCs w:val="32"/>
              </w:rPr>
              <w:t>宣传方案；</w:t>
            </w:r>
            <w:r w:rsidRPr="00AB26A7">
              <w:rPr>
                <w:rFonts w:ascii="Cambria Math" w:eastAsia="仿宋_GB2312" w:hAnsi="Cambria Math" w:cs="Cambria Math"/>
                <w:bCs/>
                <w:sz w:val="32"/>
                <w:szCs w:val="32"/>
              </w:rPr>
              <w:t>⑤</w:t>
            </w:r>
            <w:r w:rsidRPr="00AB26A7">
              <w:rPr>
                <w:rFonts w:ascii="Times New Roman" w:eastAsia="仿宋_GB2312" w:hAnsi="Times New Roman" w:cs="Times New Roman"/>
                <w:bCs/>
                <w:sz w:val="32"/>
                <w:szCs w:val="32"/>
              </w:rPr>
              <w:t>揭晓仪式方案。方案中需包含但不限于相关负责人员分工安排、活动实施时间计划安排等内容。</w:t>
            </w:r>
          </w:p>
          <w:p w14:paraId="1B93E755"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以上所有内容每提供一项得</w:t>
            </w:r>
            <w:r w:rsidRPr="00AB26A7">
              <w:rPr>
                <w:rFonts w:ascii="Times New Roman" w:eastAsia="仿宋_GB2312" w:hAnsi="Times New Roman" w:cs="Times New Roman"/>
                <w:bCs/>
                <w:sz w:val="32"/>
                <w:szCs w:val="32"/>
              </w:rPr>
              <w:t>4</w:t>
            </w:r>
            <w:r w:rsidRPr="00AB26A7">
              <w:rPr>
                <w:rFonts w:ascii="Times New Roman" w:eastAsia="仿宋_GB2312" w:hAnsi="Times New Roman" w:cs="Times New Roman"/>
                <w:bCs/>
                <w:sz w:val="32"/>
                <w:szCs w:val="32"/>
              </w:rPr>
              <w:t>分，未提供不得分，最高得</w:t>
            </w:r>
            <w:r w:rsidRPr="00AB26A7">
              <w:rPr>
                <w:rFonts w:ascii="Times New Roman" w:eastAsia="仿宋_GB2312" w:hAnsi="Times New Roman" w:cs="Times New Roman"/>
                <w:bCs/>
                <w:sz w:val="32"/>
                <w:szCs w:val="32"/>
              </w:rPr>
              <w:t>20</w:t>
            </w:r>
            <w:r w:rsidRPr="00AB26A7">
              <w:rPr>
                <w:rFonts w:ascii="Times New Roman" w:eastAsia="仿宋_GB2312" w:hAnsi="Times New Roman" w:cs="Times New Roman"/>
                <w:bCs/>
                <w:sz w:val="32"/>
                <w:szCs w:val="32"/>
              </w:rPr>
              <w:t>分；</w:t>
            </w:r>
          </w:p>
          <w:p w14:paraId="141E7715"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提供以上任意</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项得</w:t>
            </w:r>
            <w:r w:rsidRPr="00AB26A7">
              <w:rPr>
                <w:rFonts w:ascii="Times New Roman" w:eastAsia="仿宋_GB2312" w:hAnsi="Times New Roman" w:cs="Times New Roman"/>
                <w:bCs/>
                <w:sz w:val="32"/>
                <w:szCs w:val="32"/>
              </w:rPr>
              <w:t>4</w:t>
            </w:r>
            <w:r w:rsidRPr="00AB26A7">
              <w:rPr>
                <w:rFonts w:ascii="Times New Roman" w:eastAsia="仿宋_GB2312" w:hAnsi="Times New Roman" w:cs="Times New Roman"/>
                <w:bCs/>
                <w:sz w:val="32"/>
                <w:szCs w:val="32"/>
              </w:rPr>
              <w:t>分，每项内容有</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处错误或漏洞的扣</w:t>
            </w: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t>分，扣完为止。</w:t>
            </w:r>
          </w:p>
          <w:p w14:paraId="6FCB13E1" w14:textId="77777777" w:rsidR="00AB26A7" w:rsidRPr="00AB26A7" w:rsidRDefault="00AB26A7" w:rsidP="000163E9">
            <w:pPr>
              <w:pStyle w:val="ae"/>
              <w:ind w:firstLineChars="200" w:firstLine="640"/>
              <w:rPr>
                <w:rFonts w:ascii="Times New Roman" w:eastAsia="仿宋_GB2312" w:hAnsi="Times New Roman" w:cs="Times New Roman"/>
                <w:sz w:val="32"/>
                <w:szCs w:val="32"/>
              </w:rPr>
            </w:pPr>
            <w:r w:rsidRPr="00AB26A7">
              <w:rPr>
                <w:rFonts w:ascii="Times New Roman" w:eastAsia="仿宋_GB2312" w:hAnsi="Times New Roman" w:cs="Times New Roman"/>
                <w:bCs/>
                <w:sz w:val="32"/>
                <w:szCs w:val="32"/>
              </w:rPr>
              <w:t>注：</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错误</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为：违反国家地区法律法规；不符合国家相关标准、行业标准、地方标准或其他标准、规范；不满足质量、安全、技术规</w:t>
            </w:r>
            <w:r w:rsidRPr="00AB26A7">
              <w:rPr>
                <w:rFonts w:ascii="Times New Roman" w:eastAsia="仿宋_GB2312" w:hAnsi="Times New Roman" w:cs="Times New Roman"/>
                <w:bCs/>
                <w:sz w:val="32"/>
                <w:szCs w:val="32"/>
              </w:rPr>
              <w:lastRenderedPageBreak/>
              <w:t>格、物理特性等要求；不符合采购标的</w:t>
            </w:r>
            <w:proofErr w:type="gramStart"/>
            <w:r w:rsidRPr="00AB26A7">
              <w:rPr>
                <w:rFonts w:ascii="Times New Roman" w:eastAsia="仿宋_GB2312" w:hAnsi="Times New Roman" w:cs="Times New Roman"/>
                <w:bCs/>
                <w:sz w:val="32"/>
                <w:szCs w:val="32"/>
              </w:rPr>
              <w:t>的</w:t>
            </w:r>
            <w:proofErr w:type="gramEnd"/>
            <w:r w:rsidRPr="00AB26A7">
              <w:rPr>
                <w:rFonts w:ascii="Times New Roman" w:eastAsia="仿宋_GB2312" w:hAnsi="Times New Roman" w:cs="Times New Roman"/>
                <w:bCs/>
                <w:sz w:val="32"/>
                <w:szCs w:val="32"/>
              </w:rPr>
              <w:t>数量、采购项目交付或者实施的时间和地点；不满足服务标准、期限、效率等要求；关键时效指标与采购文件要求不符。</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漏洞</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为：方案中出现其它项目名称、地点、单位名称；人员相关信息前后不一致；不适用本项目特点；存在安全隐患；举证材料不充分。</w:t>
            </w:r>
          </w:p>
        </w:tc>
      </w:tr>
      <w:tr w:rsidR="00AB26A7" w14:paraId="0D66905F" w14:textId="77777777" w:rsidTr="000163E9">
        <w:tblPrEx>
          <w:tblCellMar>
            <w:top w:w="0" w:type="dxa"/>
            <w:left w:w="108" w:type="dxa"/>
            <w:bottom w:w="0" w:type="dxa"/>
            <w:right w:w="108" w:type="dxa"/>
          </w:tblCellMar>
        </w:tblPrEx>
        <w:trPr>
          <w:trHeight w:val="470"/>
          <w:jc w:val="center"/>
        </w:trPr>
        <w:tc>
          <w:tcPr>
            <w:tcW w:w="638" w:type="dxa"/>
            <w:vAlign w:val="center"/>
          </w:tcPr>
          <w:p w14:paraId="4671077A" w14:textId="77777777" w:rsidR="00AB26A7" w:rsidRPr="00AB26A7" w:rsidRDefault="00AB26A7" w:rsidP="000163E9">
            <w:pPr>
              <w:shd w:val="clear" w:color="auto" w:fill="FFFFFF" w:themeFill="background1"/>
              <w:jc w:val="center"/>
              <w:rPr>
                <w:rFonts w:ascii="Times New Roman" w:eastAsia="仿宋_GB2312" w:hAnsi="Times New Roman" w:cs="Times New Roman"/>
                <w:sz w:val="32"/>
                <w:szCs w:val="32"/>
              </w:rPr>
            </w:pPr>
            <w:r w:rsidRPr="00AB26A7">
              <w:rPr>
                <w:rFonts w:ascii="Times New Roman" w:eastAsia="仿宋_GB2312" w:hAnsi="Times New Roman" w:cs="Times New Roman"/>
                <w:sz w:val="32"/>
                <w:szCs w:val="32"/>
              </w:rPr>
              <w:lastRenderedPageBreak/>
              <w:t>3</w:t>
            </w:r>
          </w:p>
        </w:tc>
        <w:tc>
          <w:tcPr>
            <w:tcW w:w="1317" w:type="dxa"/>
            <w:vAlign w:val="center"/>
          </w:tcPr>
          <w:p w14:paraId="7938A763" w14:textId="77777777" w:rsidR="00AB26A7" w:rsidRPr="00AB26A7" w:rsidRDefault="00AB26A7" w:rsidP="000163E9">
            <w:pPr>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紧急事件处理方案（</w:t>
            </w:r>
            <w:r w:rsidRPr="00AB26A7">
              <w:rPr>
                <w:rFonts w:ascii="Times New Roman" w:eastAsia="仿宋_GB2312" w:hAnsi="Times New Roman" w:cs="Times New Roman"/>
                <w:bCs/>
                <w:sz w:val="32"/>
                <w:szCs w:val="32"/>
              </w:rPr>
              <w:t>10</w:t>
            </w:r>
            <w:r w:rsidRPr="00AB26A7">
              <w:rPr>
                <w:rFonts w:ascii="Times New Roman" w:eastAsia="仿宋_GB2312" w:hAnsi="Times New Roman" w:cs="Times New Roman"/>
                <w:bCs/>
                <w:sz w:val="32"/>
                <w:szCs w:val="32"/>
              </w:rPr>
              <w:t>分）</w:t>
            </w:r>
          </w:p>
        </w:tc>
        <w:tc>
          <w:tcPr>
            <w:tcW w:w="902" w:type="dxa"/>
            <w:vAlign w:val="center"/>
          </w:tcPr>
          <w:p w14:paraId="0D7A7987" w14:textId="77777777" w:rsidR="00AB26A7" w:rsidRPr="00AB26A7" w:rsidRDefault="00AB26A7" w:rsidP="000163E9">
            <w:pPr>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10</w:t>
            </w:r>
            <w:r w:rsidRPr="00AB26A7">
              <w:rPr>
                <w:rFonts w:ascii="Times New Roman" w:eastAsia="仿宋_GB2312" w:hAnsi="Times New Roman" w:cs="Times New Roman"/>
                <w:bCs/>
                <w:sz w:val="32"/>
                <w:szCs w:val="32"/>
              </w:rPr>
              <w:t>分</w:t>
            </w:r>
          </w:p>
        </w:tc>
        <w:tc>
          <w:tcPr>
            <w:tcW w:w="6593" w:type="dxa"/>
            <w:vAlign w:val="center"/>
          </w:tcPr>
          <w:p w14:paraId="2E94ED8F"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根据供应商提供的紧急事件处理方案进行综合评价，</w:t>
            </w:r>
            <w:proofErr w:type="gramStart"/>
            <w:r w:rsidRPr="00AB26A7">
              <w:rPr>
                <w:rFonts w:ascii="Times New Roman" w:eastAsia="仿宋_GB2312" w:hAnsi="Times New Roman" w:cs="Times New Roman"/>
                <w:bCs/>
                <w:sz w:val="32"/>
                <w:szCs w:val="32"/>
              </w:rPr>
              <w:t>案内容</w:t>
            </w:r>
            <w:proofErr w:type="gramEnd"/>
            <w:r w:rsidRPr="00AB26A7">
              <w:rPr>
                <w:rFonts w:ascii="Times New Roman" w:eastAsia="仿宋_GB2312" w:hAnsi="Times New Roman" w:cs="Times New Roman"/>
                <w:bCs/>
                <w:sz w:val="32"/>
                <w:szCs w:val="32"/>
              </w:rPr>
              <w:t>包括但不限于：</w:t>
            </w:r>
            <w:r w:rsidRPr="00AB26A7">
              <w:rPr>
                <w:rFonts w:ascii="Cambria Math" w:eastAsia="仿宋_GB2312" w:hAnsi="Cambria Math" w:cs="Cambria Math"/>
                <w:bCs/>
                <w:sz w:val="32"/>
                <w:szCs w:val="32"/>
              </w:rPr>
              <w:t>①</w:t>
            </w:r>
            <w:r w:rsidRPr="00AB26A7">
              <w:rPr>
                <w:rFonts w:ascii="Times New Roman" w:eastAsia="仿宋_GB2312" w:hAnsi="Times New Roman" w:cs="Times New Roman"/>
                <w:bCs/>
                <w:sz w:val="32"/>
                <w:szCs w:val="32"/>
              </w:rPr>
              <w:t>紧急事件和突发事件的预防措施；</w:t>
            </w:r>
            <w:r w:rsidRPr="00AB26A7">
              <w:rPr>
                <w:rFonts w:ascii="Cambria Math" w:eastAsia="仿宋_GB2312" w:hAnsi="Cambria Math" w:cs="Cambria Math"/>
                <w:bCs/>
                <w:sz w:val="32"/>
                <w:szCs w:val="32"/>
              </w:rPr>
              <w:t>②</w:t>
            </w:r>
            <w:r w:rsidRPr="00AB26A7">
              <w:rPr>
                <w:rFonts w:ascii="Times New Roman" w:eastAsia="仿宋_GB2312" w:hAnsi="Times New Roman" w:cs="Times New Roman"/>
                <w:bCs/>
                <w:sz w:val="32"/>
                <w:szCs w:val="32"/>
              </w:rPr>
              <w:t>快速得当处理方案应急预案及相应的保障措施。</w:t>
            </w:r>
          </w:p>
          <w:p w14:paraId="226A65A9"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提供以上任意</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项得</w:t>
            </w:r>
            <w:r w:rsidRPr="00AB26A7">
              <w:rPr>
                <w:rFonts w:ascii="Times New Roman" w:eastAsia="仿宋_GB2312" w:hAnsi="Times New Roman" w:cs="Times New Roman"/>
                <w:bCs/>
                <w:sz w:val="32"/>
                <w:szCs w:val="32"/>
              </w:rPr>
              <w:t>5</w:t>
            </w:r>
            <w:r w:rsidRPr="00AB26A7">
              <w:rPr>
                <w:rFonts w:ascii="Times New Roman" w:eastAsia="仿宋_GB2312" w:hAnsi="Times New Roman" w:cs="Times New Roman"/>
                <w:bCs/>
                <w:sz w:val="32"/>
                <w:szCs w:val="32"/>
              </w:rPr>
              <w:t>分，每项内容有</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处错误或漏洞的扣</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分，扣完为止。</w:t>
            </w:r>
          </w:p>
          <w:p w14:paraId="66CACEA5" w14:textId="77777777" w:rsidR="00AB26A7" w:rsidRPr="00AB26A7" w:rsidRDefault="00AB26A7" w:rsidP="000163E9">
            <w:pPr>
              <w:pStyle w:val="ae"/>
              <w:ind w:firstLineChars="200" w:firstLine="640"/>
              <w:rPr>
                <w:rFonts w:ascii="Times New Roman" w:eastAsia="仿宋_GB2312" w:hAnsi="Times New Roman" w:cs="Times New Roman"/>
                <w:sz w:val="32"/>
                <w:szCs w:val="32"/>
              </w:rPr>
            </w:pPr>
            <w:r w:rsidRPr="00AB26A7">
              <w:rPr>
                <w:rFonts w:ascii="Times New Roman" w:eastAsia="仿宋_GB2312" w:hAnsi="Times New Roman" w:cs="Times New Roman"/>
                <w:bCs/>
                <w:sz w:val="32"/>
                <w:szCs w:val="32"/>
              </w:rPr>
              <w:t>注：</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错误</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为：违反国家地区法律法规；不符合国家相关标准、行业标准、地方标准或其他标准、规范；不满足质量、安全、技术规格、物理特性等要求；不符合采购标的</w:t>
            </w:r>
            <w:proofErr w:type="gramStart"/>
            <w:r w:rsidRPr="00AB26A7">
              <w:rPr>
                <w:rFonts w:ascii="Times New Roman" w:eastAsia="仿宋_GB2312" w:hAnsi="Times New Roman" w:cs="Times New Roman"/>
                <w:bCs/>
                <w:sz w:val="32"/>
                <w:szCs w:val="32"/>
              </w:rPr>
              <w:t>的</w:t>
            </w:r>
            <w:proofErr w:type="gramEnd"/>
            <w:r w:rsidRPr="00AB26A7">
              <w:rPr>
                <w:rFonts w:ascii="Times New Roman" w:eastAsia="仿宋_GB2312" w:hAnsi="Times New Roman" w:cs="Times New Roman"/>
                <w:bCs/>
                <w:sz w:val="32"/>
                <w:szCs w:val="32"/>
              </w:rPr>
              <w:t>数量、采购项目交付或者实施的时间和地点；不满足服务标准、期限、效率等要求；关键时效指标与采购文件要求不符。</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漏洞</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为：方案中出现其它项目名称、地点、单位名称；人员相关信息前后不一致；不适用本项目特点；存在安全</w:t>
            </w:r>
            <w:r w:rsidRPr="00AB26A7">
              <w:rPr>
                <w:rFonts w:ascii="Times New Roman" w:eastAsia="仿宋_GB2312" w:hAnsi="Times New Roman" w:cs="Times New Roman"/>
                <w:bCs/>
                <w:sz w:val="32"/>
                <w:szCs w:val="32"/>
              </w:rPr>
              <w:lastRenderedPageBreak/>
              <w:t>隐患；举证材料不充分。</w:t>
            </w:r>
          </w:p>
        </w:tc>
      </w:tr>
      <w:tr w:rsidR="00AB26A7" w14:paraId="7A875214" w14:textId="77777777" w:rsidTr="000163E9">
        <w:tblPrEx>
          <w:tblCellMar>
            <w:top w:w="0" w:type="dxa"/>
            <w:left w:w="108" w:type="dxa"/>
            <w:bottom w:w="0" w:type="dxa"/>
            <w:right w:w="108" w:type="dxa"/>
          </w:tblCellMar>
        </w:tblPrEx>
        <w:trPr>
          <w:trHeight w:val="470"/>
          <w:jc w:val="center"/>
        </w:trPr>
        <w:tc>
          <w:tcPr>
            <w:tcW w:w="638" w:type="dxa"/>
            <w:vAlign w:val="center"/>
          </w:tcPr>
          <w:p w14:paraId="32BD4CBA" w14:textId="77777777" w:rsidR="00AB26A7" w:rsidRPr="00AB26A7" w:rsidRDefault="00AB26A7" w:rsidP="000163E9">
            <w:pPr>
              <w:shd w:val="clear" w:color="auto" w:fill="FFFFFF" w:themeFill="background1"/>
              <w:jc w:val="center"/>
              <w:rPr>
                <w:rFonts w:ascii="Times New Roman" w:eastAsia="仿宋_GB2312" w:hAnsi="Times New Roman" w:cs="Times New Roman"/>
                <w:sz w:val="32"/>
                <w:szCs w:val="32"/>
              </w:rPr>
            </w:pPr>
          </w:p>
        </w:tc>
        <w:tc>
          <w:tcPr>
            <w:tcW w:w="1317" w:type="dxa"/>
            <w:vAlign w:val="center"/>
          </w:tcPr>
          <w:p w14:paraId="23354899" w14:textId="77777777" w:rsidR="00AB26A7" w:rsidRPr="00AB26A7" w:rsidRDefault="00AB26A7" w:rsidP="000163E9">
            <w:pPr>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服务质量保证措施（</w:t>
            </w:r>
            <w:r w:rsidRPr="00AB26A7">
              <w:rPr>
                <w:rFonts w:ascii="Times New Roman" w:eastAsia="仿宋_GB2312" w:hAnsi="Times New Roman" w:cs="Times New Roman"/>
                <w:bCs/>
                <w:sz w:val="32"/>
                <w:szCs w:val="32"/>
              </w:rPr>
              <w:t>10</w:t>
            </w:r>
            <w:r w:rsidRPr="00AB26A7">
              <w:rPr>
                <w:rFonts w:ascii="Times New Roman" w:eastAsia="仿宋_GB2312" w:hAnsi="Times New Roman" w:cs="Times New Roman"/>
                <w:bCs/>
                <w:sz w:val="32"/>
                <w:szCs w:val="32"/>
              </w:rPr>
              <w:t>分）</w:t>
            </w:r>
          </w:p>
        </w:tc>
        <w:tc>
          <w:tcPr>
            <w:tcW w:w="902" w:type="dxa"/>
            <w:vAlign w:val="center"/>
          </w:tcPr>
          <w:p w14:paraId="4E2EE4EE" w14:textId="77777777" w:rsidR="00AB26A7" w:rsidRPr="00AB26A7" w:rsidRDefault="00AB26A7" w:rsidP="000163E9">
            <w:pPr>
              <w:jc w:val="center"/>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10</w:t>
            </w:r>
            <w:r w:rsidRPr="00AB26A7">
              <w:rPr>
                <w:rFonts w:ascii="Times New Roman" w:eastAsia="仿宋_GB2312" w:hAnsi="Times New Roman" w:cs="Times New Roman"/>
                <w:bCs/>
                <w:sz w:val="32"/>
                <w:szCs w:val="32"/>
              </w:rPr>
              <w:t>分</w:t>
            </w:r>
          </w:p>
        </w:tc>
        <w:tc>
          <w:tcPr>
            <w:tcW w:w="6593" w:type="dxa"/>
            <w:vAlign w:val="center"/>
          </w:tcPr>
          <w:p w14:paraId="78116602"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根据供应商提供的服务质量保证措施进行综合评价，方案内容包括但不限于：</w:t>
            </w:r>
            <w:r w:rsidRPr="00AB26A7">
              <w:rPr>
                <w:rFonts w:ascii="Cambria Math" w:eastAsia="仿宋_GB2312" w:hAnsi="Cambria Math" w:cs="Cambria Math"/>
                <w:bCs/>
                <w:sz w:val="32"/>
                <w:szCs w:val="32"/>
              </w:rPr>
              <w:t>①</w:t>
            </w:r>
            <w:r w:rsidRPr="00AB26A7">
              <w:rPr>
                <w:rFonts w:ascii="Times New Roman" w:eastAsia="仿宋_GB2312" w:hAnsi="Times New Roman" w:cs="Times New Roman"/>
                <w:bCs/>
                <w:sz w:val="32"/>
                <w:szCs w:val="32"/>
              </w:rPr>
              <w:t>质量目标；</w:t>
            </w:r>
            <w:r w:rsidRPr="00AB26A7">
              <w:rPr>
                <w:rFonts w:ascii="Cambria Math" w:eastAsia="仿宋_GB2312" w:hAnsi="Cambria Math" w:cs="Cambria Math"/>
                <w:bCs/>
                <w:sz w:val="32"/>
                <w:szCs w:val="32"/>
              </w:rPr>
              <w:t>②</w:t>
            </w:r>
            <w:r w:rsidRPr="00AB26A7">
              <w:rPr>
                <w:rFonts w:ascii="Times New Roman" w:eastAsia="仿宋_GB2312" w:hAnsi="Times New Roman" w:cs="Times New Roman"/>
                <w:bCs/>
                <w:sz w:val="32"/>
                <w:szCs w:val="32"/>
              </w:rPr>
              <w:t>质量保障计划；</w:t>
            </w:r>
            <w:r w:rsidRPr="00AB26A7">
              <w:rPr>
                <w:rFonts w:ascii="Cambria Math" w:eastAsia="仿宋_GB2312" w:hAnsi="Cambria Math" w:cs="Cambria Math"/>
                <w:bCs/>
                <w:sz w:val="32"/>
                <w:szCs w:val="32"/>
              </w:rPr>
              <w:t>③</w:t>
            </w:r>
            <w:r w:rsidRPr="00AB26A7">
              <w:rPr>
                <w:rFonts w:ascii="Times New Roman" w:eastAsia="仿宋_GB2312" w:hAnsi="Times New Roman" w:cs="Times New Roman"/>
                <w:bCs/>
                <w:sz w:val="32"/>
                <w:szCs w:val="32"/>
              </w:rPr>
              <w:t>质量保障与控制；</w:t>
            </w:r>
            <w:r w:rsidRPr="00AB26A7">
              <w:rPr>
                <w:rFonts w:ascii="Cambria Math" w:eastAsia="仿宋_GB2312" w:hAnsi="Cambria Math" w:cs="Cambria Math"/>
                <w:bCs/>
                <w:sz w:val="32"/>
                <w:szCs w:val="32"/>
              </w:rPr>
              <w:t>④</w:t>
            </w:r>
            <w:r w:rsidRPr="00AB26A7">
              <w:rPr>
                <w:rFonts w:ascii="Times New Roman" w:eastAsia="仿宋_GB2312" w:hAnsi="Times New Roman" w:cs="Times New Roman"/>
                <w:bCs/>
                <w:sz w:val="32"/>
                <w:szCs w:val="32"/>
              </w:rPr>
              <w:t>质量管理；</w:t>
            </w:r>
            <w:r w:rsidRPr="00AB26A7">
              <w:rPr>
                <w:rFonts w:ascii="Cambria Math" w:eastAsia="仿宋_GB2312" w:hAnsi="Cambria Math" w:cs="Cambria Math"/>
                <w:bCs/>
                <w:sz w:val="32"/>
                <w:szCs w:val="32"/>
              </w:rPr>
              <w:t>⑤</w:t>
            </w:r>
            <w:r w:rsidRPr="00AB26A7">
              <w:rPr>
                <w:rFonts w:ascii="Times New Roman" w:eastAsia="仿宋_GB2312" w:hAnsi="Times New Roman" w:cs="Times New Roman"/>
                <w:bCs/>
                <w:sz w:val="32"/>
                <w:szCs w:val="32"/>
              </w:rPr>
              <w:t>人员保障等。</w:t>
            </w:r>
          </w:p>
          <w:p w14:paraId="4E835BFA" w14:textId="77777777" w:rsidR="00AB26A7" w:rsidRPr="00AB26A7" w:rsidRDefault="00AB26A7" w:rsidP="000163E9">
            <w:pPr>
              <w:ind w:firstLineChars="200" w:firstLine="640"/>
              <w:jc w:val="left"/>
              <w:rPr>
                <w:rFonts w:ascii="Times New Roman" w:eastAsia="仿宋_GB2312" w:hAnsi="Times New Roman" w:cs="Times New Roman"/>
                <w:bCs/>
                <w:sz w:val="32"/>
                <w:szCs w:val="32"/>
              </w:rPr>
            </w:pPr>
            <w:r w:rsidRPr="00AB26A7">
              <w:rPr>
                <w:rFonts w:ascii="Times New Roman" w:eastAsia="仿宋_GB2312" w:hAnsi="Times New Roman" w:cs="Times New Roman"/>
                <w:bCs/>
                <w:sz w:val="32"/>
                <w:szCs w:val="32"/>
              </w:rPr>
              <w:t>提供以上任意</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项得</w:t>
            </w:r>
            <w:r w:rsidRPr="00AB26A7">
              <w:rPr>
                <w:rFonts w:ascii="Times New Roman" w:eastAsia="仿宋_GB2312" w:hAnsi="Times New Roman" w:cs="Times New Roman"/>
                <w:bCs/>
                <w:sz w:val="32"/>
                <w:szCs w:val="32"/>
              </w:rPr>
              <w:t>2</w:t>
            </w:r>
            <w:r w:rsidRPr="00AB26A7">
              <w:rPr>
                <w:rFonts w:ascii="Times New Roman" w:eastAsia="仿宋_GB2312" w:hAnsi="Times New Roman" w:cs="Times New Roman"/>
                <w:bCs/>
                <w:sz w:val="32"/>
                <w:szCs w:val="32"/>
              </w:rPr>
              <w:t>分，每项内容有</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处错误或漏洞的扣</w:t>
            </w:r>
            <w:r w:rsidRPr="00AB26A7">
              <w:rPr>
                <w:rFonts w:ascii="Times New Roman" w:eastAsia="仿宋_GB2312" w:hAnsi="Times New Roman" w:cs="Times New Roman"/>
                <w:bCs/>
                <w:sz w:val="32"/>
                <w:szCs w:val="32"/>
              </w:rPr>
              <w:t>1</w:t>
            </w:r>
            <w:r w:rsidRPr="00AB26A7">
              <w:rPr>
                <w:rFonts w:ascii="Times New Roman" w:eastAsia="仿宋_GB2312" w:hAnsi="Times New Roman" w:cs="Times New Roman"/>
                <w:bCs/>
                <w:sz w:val="32"/>
                <w:szCs w:val="32"/>
              </w:rPr>
              <w:t>分，扣完为止。</w:t>
            </w:r>
          </w:p>
          <w:p w14:paraId="206C6C66" w14:textId="77777777" w:rsidR="00AB26A7" w:rsidRPr="00AB26A7" w:rsidRDefault="00AB26A7" w:rsidP="000163E9">
            <w:pPr>
              <w:pStyle w:val="ae"/>
              <w:ind w:firstLineChars="200" w:firstLine="640"/>
              <w:rPr>
                <w:rFonts w:ascii="Times New Roman" w:eastAsia="仿宋_GB2312" w:hAnsi="Times New Roman" w:cs="Times New Roman"/>
                <w:sz w:val="32"/>
                <w:szCs w:val="32"/>
              </w:rPr>
            </w:pPr>
            <w:r w:rsidRPr="00AB26A7">
              <w:rPr>
                <w:rFonts w:ascii="Times New Roman" w:eastAsia="仿宋_GB2312" w:hAnsi="Times New Roman" w:cs="Times New Roman"/>
                <w:bCs/>
                <w:sz w:val="32"/>
                <w:szCs w:val="32"/>
              </w:rPr>
              <w:t>注：</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错误</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为：违反国家地区法律法规；不符合国家相关标准、行业标准、地方标准或其他标准、规范；不满足质量、安全、技术规格、物理特性等要求；不符合采购标的</w:t>
            </w:r>
            <w:proofErr w:type="gramStart"/>
            <w:r w:rsidRPr="00AB26A7">
              <w:rPr>
                <w:rFonts w:ascii="Times New Roman" w:eastAsia="仿宋_GB2312" w:hAnsi="Times New Roman" w:cs="Times New Roman"/>
                <w:bCs/>
                <w:sz w:val="32"/>
                <w:szCs w:val="32"/>
              </w:rPr>
              <w:t>的</w:t>
            </w:r>
            <w:proofErr w:type="gramEnd"/>
            <w:r w:rsidRPr="00AB26A7">
              <w:rPr>
                <w:rFonts w:ascii="Times New Roman" w:eastAsia="仿宋_GB2312" w:hAnsi="Times New Roman" w:cs="Times New Roman"/>
                <w:bCs/>
                <w:sz w:val="32"/>
                <w:szCs w:val="32"/>
              </w:rPr>
              <w:t>数量、采购项目交付或者实施的时间和地点；不满足服务标准、期限、效率等要求；关键时效指标与采购文件要求不符。</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漏洞</w:t>
            </w:r>
            <w:r w:rsidRPr="00AB26A7">
              <w:rPr>
                <w:rFonts w:ascii="Times New Roman" w:eastAsia="仿宋_GB2312" w:hAnsi="Times New Roman" w:cs="Times New Roman"/>
                <w:bCs/>
                <w:sz w:val="32"/>
                <w:szCs w:val="32"/>
              </w:rPr>
              <w:t>”</w:t>
            </w:r>
            <w:r w:rsidRPr="00AB26A7">
              <w:rPr>
                <w:rFonts w:ascii="Times New Roman" w:eastAsia="仿宋_GB2312" w:hAnsi="Times New Roman" w:cs="Times New Roman"/>
                <w:bCs/>
                <w:sz w:val="32"/>
                <w:szCs w:val="32"/>
              </w:rPr>
              <w:t>为：方案中出现其它项目名称、地点、单位名称；人员相关信息前后不一致；不适用本项目特点；存在安全隐患；举证材料不充分。</w:t>
            </w:r>
          </w:p>
        </w:tc>
      </w:tr>
    </w:tbl>
    <w:p w14:paraId="77B1536B" w14:textId="77777777" w:rsidR="008F52EF" w:rsidRPr="00AB26A7" w:rsidRDefault="008F52EF">
      <w:pPr>
        <w:rPr>
          <w:rFonts w:hint="eastAsia"/>
        </w:rPr>
      </w:pPr>
    </w:p>
    <w:sectPr w:rsidR="008F52EF" w:rsidRPr="00AB2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A7"/>
    <w:rsid w:val="008F52EF"/>
    <w:rsid w:val="00AB26A7"/>
    <w:rsid w:val="00C43BE9"/>
    <w:rsid w:val="00E1325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9B36"/>
  <w15:chartTrackingRefBased/>
  <w15:docId w15:val="{083840ED-A409-4452-8BF0-6DC78C6A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6A7"/>
    <w:pPr>
      <w:widowControl w:val="0"/>
      <w:jc w:val="both"/>
    </w:pPr>
    <w:rPr>
      <w:szCs w:val="24"/>
    </w:rPr>
  </w:style>
  <w:style w:type="paragraph" w:styleId="1">
    <w:name w:val="heading 1"/>
    <w:basedOn w:val="a"/>
    <w:next w:val="a"/>
    <w:link w:val="10"/>
    <w:uiPriority w:val="9"/>
    <w:qFormat/>
    <w:rsid w:val="00AB26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6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6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6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6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6A7"/>
    <w:pPr>
      <w:keepNext/>
      <w:keepLines/>
      <w:spacing w:before="40"/>
      <w:outlineLvl w:val="5"/>
    </w:pPr>
    <w:rPr>
      <w:rFonts w:cstheme="majorBidi"/>
      <w:b/>
      <w:bCs/>
      <w:color w:val="2F5496" w:themeColor="accent1" w:themeShade="BF"/>
      <w:szCs w:val="22"/>
    </w:rPr>
  </w:style>
  <w:style w:type="paragraph" w:styleId="7">
    <w:name w:val="heading 7"/>
    <w:basedOn w:val="a"/>
    <w:next w:val="a"/>
    <w:link w:val="70"/>
    <w:uiPriority w:val="9"/>
    <w:semiHidden/>
    <w:unhideWhenUsed/>
    <w:qFormat/>
    <w:rsid w:val="00AB26A7"/>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AB26A7"/>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AB26A7"/>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6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6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6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6A7"/>
    <w:rPr>
      <w:rFonts w:cstheme="majorBidi"/>
      <w:color w:val="2F5496" w:themeColor="accent1" w:themeShade="BF"/>
      <w:sz w:val="28"/>
      <w:szCs w:val="28"/>
    </w:rPr>
  </w:style>
  <w:style w:type="character" w:customStyle="1" w:styleId="50">
    <w:name w:val="标题 5 字符"/>
    <w:basedOn w:val="a0"/>
    <w:link w:val="5"/>
    <w:uiPriority w:val="9"/>
    <w:semiHidden/>
    <w:rsid w:val="00AB26A7"/>
    <w:rPr>
      <w:rFonts w:cstheme="majorBidi"/>
      <w:color w:val="2F5496" w:themeColor="accent1" w:themeShade="BF"/>
      <w:sz w:val="24"/>
      <w:szCs w:val="24"/>
    </w:rPr>
  </w:style>
  <w:style w:type="character" w:customStyle="1" w:styleId="60">
    <w:name w:val="标题 6 字符"/>
    <w:basedOn w:val="a0"/>
    <w:link w:val="6"/>
    <w:uiPriority w:val="9"/>
    <w:semiHidden/>
    <w:rsid w:val="00AB26A7"/>
    <w:rPr>
      <w:rFonts w:cstheme="majorBidi"/>
      <w:b/>
      <w:bCs/>
      <w:color w:val="2F5496" w:themeColor="accent1" w:themeShade="BF"/>
    </w:rPr>
  </w:style>
  <w:style w:type="character" w:customStyle="1" w:styleId="70">
    <w:name w:val="标题 7 字符"/>
    <w:basedOn w:val="a0"/>
    <w:link w:val="7"/>
    <w:uiPriority w:val="9"/>
    <w:semiHidden/>
    <w:rsid w:val="00AB26A7"/>
    <w:rPr>
      <w:rFonts w:cstheme="majorBidi"/>
      <w:b/>
      <w:bCs/>
      <w:color w:val="595959" w:themeColor="text1" w:themeTint="A6"/>
    </w:rPr>
  </w:style>
  <w:style w:type="character" w:customStyle="1" w:styleId="80">
    <w:name w:val="标题 8 字符"/>
    <w:basedOn w:val="a0"/>
    <w:link w:val="8"/>
    <w:uiPriority w:val="9"/>
    <w:semiHidden/>
    <w:rsid w:val="00AB26A7"/>
    <w:rPr>
      <w:rFonts w:cstheme="majorBidi"/>
      <w:color w:val="595959" w:themeColor="text1" w:themeTint="A6"/>
    </w:rPr>
  </w:style>
  <w:style w:type="character" w:customStyle="1" w:styleId="90">
    <w:name w:val="标题 9 字符"/>
    <w:basedOn w:val="a0"/>
    <w:link w:val="9"/>
    <w:uiPriority w:val="9"/>
    <w:semiHidden/>
    <w:rsid w:val="00AB26A7"/>
    <w:rPr>
      <w:rFonts w:eastAsiaTheme="majorEastAsia" w:cstheme="majorBidi"/>
      <w:color w:val="595959" w:themeColor="text1" w:themeTint="A6"/>
    </w:rPr>
  </w:style>
  <w:style w:type="paragraph" w:styleId="a3">
    <w:name w:val="Title"/>
    <w:basedOn w:val="a"/>
    <w:next w:val="a"/>
    <w:link w:val="a4"/>
    <w:uiPriority w:val="10"/>
    <w:qFormat/>
    <w:rsid w:val="00AB26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6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6A7"/>
    <w:pPr>
      <w:spacing w:before="160" w:after="160"/>
      <w:jc w:val="center"/>
    </w:pPr>
    <w:rPr>
      <w:i/>
      <w:iCs/>
      <w:color w:val="404040" w:themeColor="text1" w:themeTint="BF"/>
      <w:szCs w:val="22"/>
    </w:rPr>
  </w:style>
  <w:style w:type="character" w:customStyle="1" w:styleId="a8">
    <w:name w:val="引用 字符"/>
    <w:basedOn w:val="a0"/>
    <w:link w:val="a7"/>
    <w:uiPriority w:val="29"/>
    <w:rsid w:val="00AB26A7"/>
    <w:rPr>
      <w:i/>
      <w:iCs/>
      <w:color w:val="404040" w:themeColor="text1" w:themeTint="BF"/>
    </w:rPr>
  </w:style>
  <w:style w:type="paragraph" w:styleId="a9">
    <w:name w:val="List Paragraph"/>
    <w:basedOn w:val="a"/>
    <w:uiPriority w:val="34"/>
    <w:qFormat/>
    <w:rsid w:val="00AB26A7"/>
    <w:pPr>
      <w:ind w:left="720"/>
      <w:contextualSpacing/>
    </w:pPr>
    <w:rPr>
      <w:szCs w:val="22"/>
    </w:rPr>
  </w:style>
  <w:style w:type="character" w:styleId="aa">
    <w:name w:val="Intense Emphasis"/>
    <w:basedOn w:val="a0"/>
    <w:uiPriority w:val="21"/>
    <w:qFormat/>
    <w:rsid w:val="00AB26A7"/>
    <w:rPr>
      <w:i/>
      <w:iCs/>
      <w:color w:val="2F5496" w:themeColor="accent1" w:themeShade="BF"/>
    </w:rPr>
  </w:style>
  <w:style w:type="paragraph" w:styleId="ab">
    <w:name w:val="Intense Quote"/>
    <w:basedOn w:val="a"/>
    <w:next w:val="a"/>
    <w:link w:val="ac"/>
    <w:uiPriority w:val="30"/>
    <w:qFormat/>
    <w:rsid w:val="00AB2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2"/>
    </w:rPr>
  </w:style>
  <w:style w:type="character" w:customStyle="1" w:styleId="ac">
    <w:name w:val="明显引用 字符"/>
    <w:basedOn w:val="a0"/>
    <w:link w:val="ab"/>
    <w:uiPriority w:val="30"/>
    <w:rsid w:val="00AB26A7"/>
    <w:rPr>
      <w:i/>
      <w:iCs/>
      <w:color w:val="2F5496" w:themeColor="accent1" w:themeShade="BF"/>
    </w:rPr>
  </w:style>
  <w:style w:type="character" w:styleId="ad">
    <w:name w:val="Intense Reference"/>
    <w:basedOn w:val="a0"/>
    <w:uiPriority w:val="32"/>
    <w:qFormat/>
    <w:rsid w:val="00AB26A7"/>
    <w:rPr>
      <w:b/>
      <w:bCs/>
      <w:smallCaps/>
      <w:color w:val="2F5496" w:themeColor="accent1" w:themeShade="BF"/>
      <w:spacing w:val="5"/>
    </w:rPr>
  </w:style>
  <w:style w:type="paragraph" w:styleId="ae">
    <w:name w:val="Body Text"/>
    <w:basedOn w:val="a"/>
    <w:next w:val="a"/>
    <w:link w:val="af"/>
    <w:qFormat/>
    <w:rsid w:val="00AB26A7"/>
    <w:pPr>
      <w:spacing w:after="120"/>
    </w:pPr>
  </w:style>
  <w:style w:type="character" w:customStyle="1" w:styleId="af">
    <w:name w:val="正文文本 字符"/>
    <w:basedOn w:val="a0"/>
    <w:link w:val="ae"/>
    <w:qFormat/>
    <w:rsid w:val="00AB26A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1359</Words>
  <Characters>1414</Characters>
  <Application>Microsoft Office Word</Application>
  <DocSecurity>0</DocSecurity>
  <Lines>78</Lines>
  <Paragraphs>84</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Lawliet L.</dc:creator>
  <cp:keywords/>
  <dc:description/>
  <cp:lastModifiedBy>Lawliet L.</cp:lastModifiedBy>
  <cp:revision>1</cp:revision>
  <dcterms:created xsi:type="dcterms:W3CDTF">2026-06-30T03:47:00Z</dcterms:created>
  <dcterms:modified xsi:type="dcterms:W3CDTF">2026-06-30T03:55:00Z</dcterms:modified>
</cp:coreProperties>
</file>